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E94D35" w14:textId="77777777" w:rsidR="007120EE" w:rsidRPr="007120EE" w:rsidRDefault="007120EE" w:rsidP="007120EE">
      <w:pPr>
        <w:jc w:val="center"/>
        <w:rPr>
          <w:rFonts w:ascii="Helvetica" w:hAnsi="Helvetica" w:cs="Helvetica"/>
          <w:b/>
          <w:sz w:val="24"/>
          <w:szCs w:val="24"/>
        </w:rPr>
      </w:pPr>
      <w:r w:rsidRPr="007120EE">
        <w:rPr>
          <w:rFonts w:ascii="Helvetica" w:hAnsi="Helvetica" w:cs="Helvetica"/>
          <w:b/>
          <w:sz w:val="28"/>
          <w:szCs w:val="24"/>
        </w:rPr>
        <w:t>Experimental Demonstration of Shape Control with Marangoni-Driven Patterning</w:t>
      </w:r>
    </w:p>
    <w:p w14:paraId="5A43D39A" w14:textId="77777777" w:rsidR="007120EE" w:rsidRPr="006F271C" w:rsidRDefault="007120EE" w:rsidP="007120EE">
      <w:pPr>
        <w:jc w:val="center"/>
        <w:rPr>
          <w:b/>
          <w:sz w:val="24"/>
          <w:szCs w:val="24"/>
        </w:rPr>
      </w:pPr>
    </w:p>
    <w:p w14:paraId="7719A39E" w14:textId="77777777" w:rsidR="007120EE" w:rsidRPr="007120EE" w:rsidRDefault="007120EE" w:rsidP="007120EE">
      <w:pPr>
        <w:jc w:val="center"/>
        <w:rPr>
          <w:rFonts w:ascii="Helvetica" w:hAnsi="Helvetica" w:cs="Helvetica"/>
          <w:b/>
          <w:sz w:val="24"/>
          <w:szCs w:val="24"/>
          <w:vertAlign w:val="superscript"/>
        </w:rPr>
      </w:pPr>
      <w:r w:rsidRPr="007120EE">
        <w:rPr>
          <w:rFonts w:ascii="Helvetica" w:hAnsi="Helvetica" w:cs="Helvetica"/>
          <w:b/>
          <w:sz w:val="24"/>
          <w:szCs w:val="24"/>
        </w:rPr>
        <w:t>Steven Stanley</w:t>
      </w:r>
      <w:r w:rsidRPr="007120EE">
        <w:rPr>
          <w:rFonts w:ascii="Helvetica" w:hAnsi="Helvetica" w:cs="Helvetica"/>
          <w:b/>
          <w:sz w:val="24"/>
          <w:szCs w:val="24"/>
          <w:vertAlign w:val="superscript"/>
        </w:rPr>
        <w:t>1,2</w:t>
      </w:r>
      <w:r w:rsidRPr="007120EE">
        <w:rPr>
          <w:rFonts w:ascii="Helvetica" w:hAnsi="Helvetica" w:cs="Helvetica"/>
          <w:b/>
          <w:sz w:val="24"/>
          <w:szCs w:val="24"/>
        </w:rPr>
        <w:t>, Saurabh Usgaonkar</w:t>
      </w:r>
      <w:r w:rsidRPr="007120EE">
        <w:rPr>
          <w:rFonts w:ascii="Helvetica" w:hAnsi="Helvetica" w:cs="Helvetica"/>
          <w:b/>
          <w:sz w:val="24"/>
          <w:szCs w:val="24"/>
          <w:vertAlign w:val="superscript"/>
        </w:rPr>
        <w:t>3</w:t>
      </w:r>
      <w:r w:rsidRPr="007120EE">
        <w:rPr>
          <w:rFonts w:ascii="Helvetica" w:hAnsi="Helvetica" w:cs="Helvetica"/>
          <w:b/>
          <w:sz w:val="24"/>
          <w:szCs w:val="24"/>
        </w:rPr>
        <w:t>, Christopher Ellison</w:t>
      </w:r>
      <w:r w:rsidRPr="007120EE">
        <w:rPr>
          <w:rFonts w:ascii="Helvetica" w:hAnsi="Helvetica" w:cs="Helvetica"/>
          <w:b/>
          <w:sz w:val="24"/>
          <w:szCs w:val="24"/>
          <w:vertAlign w:val="superscript"/>
        </w:rPr>
        <w:t>3</w:t>
      </w:r>
      <w:r w:rsidRPr="007120EE">
        <w:rPr>
          <w:rFonts w:ascii="Helvetica" w:hAnsi="Helvetica" w:cs="Helvetica"/>
          <w:b/>
          <w:sz w:val="24"/>
          <w:szCs w:val="24"/>
        </w:rPr>
        <w:t>, and Roger T. Bonnecaze</w:t>
      </w:r>
      <w:r w:rsidRPr="007120EE">
        <w:rPr>
          <w:rFonts w:ascii="Helvetica" w:hAnsi="Helvetica" w:cs="Helvetica"/>
          <w:b/>
          <w:sz w:val="24"/>
          <w:szCs w:val="24"/>
          <w:vertAlign w:val="superscript"/>
        </w:rPr>
        <w:t>1,2</w:t>
      </w:r>
    </w:p>
    <w:p w14:paraId="2DA6DB16" w14:textId="77777777" w:rsidR="007120EE" w:rsidRPr="007120EE" w:rsidRDefault="007120EE" w:rsidP="007120EE">
      <w:pPr>
        <w:jc w:val="center"/>
        <w:rPr>
          <w:rFonts w:ascii="Helvetica" w:hAnsi="Helvetica" w:cs="Helvetica"/>
          <w:b/>
          <w:sz w:val="24"/>
          <w:szCs w:val="24"/>
        </w:rPr>
      </w:pPr>
    </w:p>
    <w:p w14:paraId="752FAA0A" w14:textId="77777777" w:rsidR="007120EE" w:rsidRPr="007120EE" w:rsidRDefault="007120EE" w:rsidP="007120EE">
      <w:pPr>
        <w:pStyle w:val="TimesNR-12-SS-Justified"/>
        <w:jc w:val="center"/>
        <w:rPr>
          <w:rFonts w:ascii="Helvetica" w:hAnsi="Helvetica" w:cs="Helvetica"/>
          <w:b/>
        </w:rPr>
      </w:pPr>
      <w:r w:rsidRPr="007120EE">
        <w:rPr>
          <w:rFonts w:ascii="Helvetica" w:hAnsi="Helvetica" w:cs="Helvetica"/>
          <w:b/>
          <w:vertAlign w:val="superscript"/>
        </w:rPr>
        <w:t>1</w:t>
      </w:r>
      <w:r w:rsidRPr="007120EE">
        <w:rPr>
          <w:rFonts w:ascii="Helvetica" w:hAnsi="Helvetica" w:cs="Helvetica"/>
          <w:b/>
        </w:rPr>
        <w:t>McKetta Department of Chemical Engineering, The University of Texas at Austin, 200 E. Dean Keeton Stop C0400, Austin, Texas, 78712, United States</w:t>
      </w:r>
    </w:p>
    <w:p w14:paraId="409B33AD" w14:textId="77777777" w:rsidR="007120EE" w:rsidRPr="007120EE" w:rsidRDefault="007120EE" w:rsidP="007120EE">
      <w:pPr>
        <w:rPr>
          <w:rFonts w:ascii="Helvetica" w:hAnsi="Helvetica" w:cs="Helvetica"/>
          <w:b/>
        </w:rPr>
      </w:pPr>
    </w:p>
    <w:p w14:paraId="1D1A3902" w14:textId="77777777" w:rsidR="007120EE" w:rsidRPr="007120EE" w:rsidRDefault="007120EE" w:rsidP="007120EE">
      <w:pPr>
        <w:pStyle w:val="TimesNR-12-SS-Justified"/>
        <w:jc w:val="center"/>
        <w:rPr>
          <w:rFonts w:ascii="Helvetica" w:hAnsi="Helvetica" w:cs="Helvetica"/>
          <w:b/>
        </w:rPr>
      </w:pPr>
      <w:r w:rsidRPr="007120EE">
        <w:rPr>
          <w:rFonts w:ascii="Helvetica" w:hAnsi="Helvetica" w:cs="Helvetica"/>
          <w:b/>
          <w:vertAlign w:val="superscript"/>
        </w:rPr>
        <w:t>2</w:t>
      </w:r>
      <w:r w:rsidRPr="007120EE">
        <w:rPr>
          <w:rFonts w:ascii="Helvetica" w:hAnsi="Helvetica" w:cs="Helvetica"/>
          <w:b/>
        </w:rPr>
        <w:t>Nanomanufacturing Systems for Mobile Computing and Mobile Energy Technologies (NASCENT) Center, The University of Texas at Austin, Austin, Texas, 78712, United States</w:t>
      </w:r>
    </w:p>
    <w:p w14:paraId="1209CE4E" w14:textId="77777777" w:rsidR="007120EE" w:rsidRPr="007120EE" w:rsidRDefault="007120EE" w:rsidP="007120EE">
      <w:pPr>
        <w:rPr>
          <w:rFonts w:ascii="Helvetica" w:hAnsi="Helvetica" w:cs="Helvetica"/>
          <w:b/>
        </w:rPr>
      </w:pPr>
    </w:p>
    <w:p w14:paraId="1D3C523E" w14:textId="77777777" w:rsidR="007120EE" w:rsidRPr="007120EE" w:rsidRDefault="007120EE" w:rsidP="007120EE">
      <w:pPr>
        <w:pStyle w:val="TimesNR-12-SS-Justified"/>
        <w:jc w:val="center"/>
        <w:rPr>
          <w:rFonts w:ascii="Helvetica" w:hAnsi="Helvetica" w:cs="Helvetica"/>
          <w:b/>
        </w:rPr>
      </w:pPr>
      <w:r w:rsidRPr="007120EE">
        <w:rPr>
          <w:rFonts w:ascii="Helvetica" w:hAnsi="Helvetica" w:cs="Helvetica"/>
          <w:b/>
          <w:vertAlign w:val="superscript"/>
        </w:rPr>
        <w:t>3</w:t>
      </w:r>
      <w:r w:rsidRPr="007120EE">
        <w:rPr>
          <w:rFonts w:ascii="Helvetica" w:hAnsi="Helvetica" w:cs="Helvetica"/>
          <w:b/>
        </w:rPr>
        <w:t>Department of Chemical Engineering and Materials Science, The University of Minnesota, Minneapolis, Minnesota 55455, United States</w:t>
      </w:r>
    </w:p>
    <w:p w14:paraId="0CA15B8B" w14:textId="4C96933B" w:rsidR="00A850F7" w:rsidRPr="00A850F7" w:rsidRDefault="00A850F7" w:rsidP="007120EE">
      <w:pPr>
        <w:rPr>
          <w:rFonts w:ascii="Helvetica" w:hAnsi="Helvetica"/>
          <w:b/>
          <w:sz w:val="28"/>
          <w:szCs w:val="28"/>
        </w:rPr>
      </w:pPr>
    </w:p>
    <w:p w14:paraId="25419B52" w14:textId="4CC7CBEF" w:rsidR="008E17C2" w:rsidRDefault="00A850F7">
      <w:pPr>
        <w:jc w:val="center"/>
        <w:rPr>
          <w:rFonts w:ascii="Helvetica" w:hAnsi="Helvetica"/>
        </w:rPr>
      </w:pPr>
      <w:r>
        <w:rPr>
          <w:rFonts w:ascii="Helvetica" w:hAnsi="Helvetica"/>
        </w:rPr>
        <w:t xml:space="preserve">Presented at the </w:t>
      </w:r>
      <w:r w:rsidR="005562F6">
        <w:rPr>
          <w:rFonts w:ascii="Helvetica" w:hAnsi="Helvetica"/>
        </w:rPr>
        <w:t>20</w:t>
      </w:r>
      <w:r>
        <w:rPr>
          <w:rFonts w:ascii="Helvetica" w:hAnsi="Helvetica"/>
          <w:vertAlign w:val="superscript"/>
        </w:rPr>
        <w:t>th</w:t>
      </w:r>
      <w:r>
        <w:rPr>
          <w:rFonts w:ascii="Helvetica" w:hAnsi="Helvetica"/>
        </w:rPr>
        <w:t xml:space="preserve"> International Coating Science and Technology Symposium</w:t>
      </w:r>
    </w:p>
    <w:p w14:paraId="60F058A0" w14:textId="2ED563BA" w:rsidR="008E17C2" w:rsidRDefault="00A850F7">
      <w:pPr>
        <w:jc w:val="center"/>
        <w:rPr>
          <w:rFonts w:ascii="Helvetica" w:hAnsi="Helvetica"/>
        </w:rPr>
      </w:pPr>
      <w:r>
        <w:rPr>
          <w:rFonts w:ascii="Helvetica" w:hAnsi="Helvetica"/>
        </w:rPr>
        <w:t xml:space="preserve">September </w:t>
      </w:r>
      <w:r w:rsidR="00D70D32">
        <w:rPr>
          <w:rFonts w:ascii="Helvetica" w:hAnsi="Helvetica"/>
        </w:rPr>
        <w:t>20</w:t>
      </w:r>
      <w:r>
        <w:rPr>
          <w:rFonts w:ascii="Helvetica" w:hAnsi="Helvetica"/>
        </w:rPr>
        <w:t>-</w:t>
      </w:r>
      <w:r w:rsidR="00D70D32">
        <w:rPr>
          <w:rFonts w:ascii="Helvetica" w:hAnsi="Helvetica"/>
        </w:rPr>
        <w:t>23</w:t>
      </w:r>
      <w:r>
        <w:rPr>
          <w:rFonts w:ascii="Helvetica" w:hAnsi="Helvetica"/>
        </w:rPr>
        <w:t>, 20</w:t>
      </w:r>
      <w:r w:rsidR="00D70D32">
        <w:rPr>
          <w:rFonts w:ascii="Helvetica" w:hAnsi="Helvetica"/>
        </w:rPr>
        <w:t>20</w:t>
      </w:r>
    </w:p>
    <w:p w14:paraId="7F84E908" w14:textId="7973EDA0" w:rsidR="008E17C2" w:rsidRDefault="005121C8">
      <w:pPr>
        <w:jc w:val="center"/>
        <w:rPr>
          <w:rFonts w:ascii="Helvetica" w:hAnsi="Helvetica"/>
        </w:rPr>
      </w:pPr>
      <w:r>
        <w:rPr>
          <w:rFonts w:ascii="Helvetica" w:hAnsi="Helvetica"/>
        </w:rPr>
        <w:t>Minneapolis</w:t>
      </w:r>
      <w:r w:rsidR="00A850F7">
        <w:rPr>
          <w:rFonts w:ascii="Helvetica" w:hAnsi="Helvetica"/>
        </w:rPr>
        <w:t xml:space="preserve">, </w:t>
      </w:r>
      <w:r>
        <w:rPr>
          <w:rFonts w:ascii="Helvetica" w:hAnsi="Helvetica"/>
        </w:rPr>
        <w:t>MN</w:t>
      </w:r>
      <w:r w:rsidR="00A850F7">
        <w:rPr>
          <w:rFonts w:ascii="Helvetica" w:hAnsi="Helvetica"/>
        </w:rPr>
        <w:t>, USA</w:t>
      </w:r>
    </w:p>
    <w:p w14:paraId="28ECE23A" w14:textId="77777777" w:rsidR="008E17C2" w:rsidRDefault="008E17C2">
      <w:pPr>
        <w:jc w:val="center"/>
        <w:rPr>
          <w:rFonts w:ascii="Helvetica" w:hAnsi="Helvetica"/>
        </w:rPr>
      </w:pPr>
    </w:p>
    <w:p w14:paraId="22AF8A89" w14:textId="77777777" w:rsidR="008E17C2" w:rsidRDefault="00A850F7">
      <w:pPr>
        <w:pStyle w:val="BodyText"/>
        <w:rPr>
          <w:rFonts w:ascii="Helvetica-Narrow" w:hAnsi="Helvetica-Narrow"/>
        </w:rPr>
      </w:pPr>
      <w:r>
        <w:rPr>
          <w:rFonts w:ascii="Helvetica-Narrow" w:hAnsi="Helvetica-Narrow"/>
        </w:rPr>
        <w:t>ISCST shall not be responsible for statements or opinions contained in papers or printed in its publications.</w:t>
      </w:r>
    </w:p>
    <w:p w14:paraId="374C6A2A" w14:textId="479B1A98" w:rsidR="005121C8" w:rsidRDefault="005121C8">
      <w:pPr>
        <w:pStyle w:val="BodyText2"/>
        <w:spacing w:line="480" w:lineRule="auto"/>
        <w:rPr>
          <w:b/>
          <w:u w:val="single"/>
        </w:rPr>
      </w:pPr>
    </w:p>
    <w:p w14:paraId="5BA37075" w14:textId="2422AAC0" w:rsidR="00227786" w:rsidRPr="00693E6F" w:rsidRDefault="00A850F7" w:rsidP="00227786">
      <w:pPr>
        <w:pStyle w:val="BodyText2"/>
        <w:spacing w:line="480" w:lineRule="auto"/>
        <w:rPr>
          <w:b/>
          <w:sz w:val="22"/>
        </w:rPr>
      </w:pPr>
      <w:r w:rsidRPr="00693E6F">
        <w:rPr>
          <w:b/>
          <w:sz w:val="22"/>
          <w:u w:val="single"/>
        </w:rPr>
        <w:t>Extended Abstract</w:t>
      </w:r>
    </w:p>
    <w:p w14:paraId="01A2D371" w14:textId="77777777" w:rsidR="00227786" w:rsidRPr="00227786" w:rsidRDefault="00227786" w:rsidP="00227786">
      <w:pPr>
        <w:jc w:val="both"/>
        <w:rPr>
          <w:rFonts w:ascii="Helvetica" w:hAnsi="Helvetica" w:cs="Helvetica"/>
          <w:sz w:val="22"/>
        </w:rPr>
      </w:pPr>
      <w:r w:rsidRPr="00227786">
        <w:rPr>
          <w:rFonts w:ascii="Helvetica" w:hAnsi="Helvetica" w:cs="Helvetica"/>
          <w:sz w:val="22"/>
        </w:rPr>
        <w:t xml:space="preserve">Applying topography to polymer thin films has several applications in the electronics, optics, adhesive, and antifouling industries. Several methods and techniques exist for patterning thin films, including optical lithography and imprint lithography. One alternative patterning method that has been explored in recent years is Marangoni-driven patterning (MDP), which harnesses photo-imposed surface tension gradients to generate topography in thin polymer films </w:t>
      </w:r>
      <w:r w:rsidRPr="00227786">
        <w:rPr>
          <w:rFonts w:ascii="Helvetica" w:hAnsi="Helvetica" w:cs="Helvetica"/>
          <w:sz w:val="22"/>
        </w:rPr>
        <w:fldChar w:fldCharType="begin" w:fldLock="1"/>
      </w:r>
      <w:r w:rsidRPr="00227786">
        <w:rPr>
          <w:rFonts w:ascii="Helvetica" w:hAnsi="Helvetica" w:cs="Helvetica"/>
          <w:sz w:val="22"/>
        </w:rPr>
        <w:instrText>ADDIN CSL_CITATION {"citationItems":[{"id":"ITEM-1","itemData":{"DOI":"10.1021/mz300400p","ISSN":"21611653","abstract":"Polystyrene (PS) that has been exposed to ultraviolet light (UV) undergoes partial dehydrogenation of the alkane polymer backbone which increases its surface energy. Exploiting this photochemistry, we exposed polystyrene films to UV light using a photomask to induce a patterned photochemical reaction producing regions in the film with differing surface energy. Upon heating the solid polymer film with the preprogrammed surface energy pattern to a liquid state, the polymer flows from the low surface energy unexposed regions to high surface energy exposed regions. This flow creates three-dimensional topography by the Marangoni Effect, which describes convective mass transfer due to surface energy gradients. The topographical features can be permanently preserved by quenching the film below its glass to liquid transition temperature. Their shape and organization are only limited by the pattern on the photomask.\\nPolystyrene (PS) that has been exposed to ultraviolet light (UV) undergoes partial dehydrogenation of the alkane polymer backbone which increases its surface energy. Exploiting this photochemistry, we exposed polystyrene films to UV light using a photomask to induce a patterned photochemical reaction producing regions in the film with differing surface energy. Upon heating the solid polymer film with the preprogrammed surface energy pattern to a liquid state, the polymer flows from the low surface energy unexposed regions to high surface energy exposed regions. This flow creates three-dimensional topography by the Marangoni Effect, which describes convective mass transfer due to surface energy gradients. The topographical features can be permanently preserved by quenching the film below its glass to liquid transition temperature. Their shape and organization are only limited by the pattern on the photomask.","author":[{"dropping-particle":"","family":"Katzenstein","given":"Joshua M.","non-dropping-particle":"","parse-names":false,"suffix":""},{"dropping-particle":"","family":"Janes","given":"Dustin W.","non-dropping-particle":"","parse-names":false,"suffix":""},{"dropping-particle":"","family":"Cushen","given":"Julia D.","non-dropping-particle":"","parse-names":false,"suffix":""},{"dropping-particle":"","family":"Hira","given":"Nikhil B.","non-dropping-particle":"","parse-names":false,"suffix":""},{"dropping-particle":"","family":"McGuffin","given":"Dana L.","non-dropping-particle":"","parse-names":false,"suffix":""},{"dropping-particle":"","family":"Prisco","given":"Nathan A.","non-dropping-particle":"","parse-names":false,"suffix":""},{"dropping-particle":"","family":"Ellison","given":"Christopher J.","non-dropping-particle":"","parse-names":false,"suffix":""}],"container-title":"ACS Macro Letters","id":"ITEM-1","issue":"10","issued":{"date-parts":[["2012"]]},"page":"1150-1154","title":"Patterning by photochemically directing the Marangoni Effect","type":"article-journal","volume":"1"},"uris":["http://www.mendeley.com/documents/?uuid=8c851285-2e2d-4783-91e4-6d6690d2cd2a"]},{"id":"ITEM-2","itemData":{"DOI":"10.1002/polb.23262","ISBN":"0887-6266","ISSN":"08876266","PMID":"15325715","abstract":"Percutaneous injuries such as accidental needle sticks are associated with the greatest risk for occupational transmission of blood-borne pathogens such as hepatitis B and C viruses and HIV. This article presents data on the risk of transmission of these viruses after needle sticks, offers strategies for prevention of injuries from sharp objects, and discusses postexposure prophylaxis recommendations.","author":[{"dropping-particle":"","family":"Janes","given":"Dustin W.","non-dropping-particle":"","parse-names":false,"suffix":""},{"dropping-particle":"","family":"Katzenstein","given":"Joshua M.","non-dropping-particle":"","parse-names":false,"suffix":""},{"dropping-particle":"","family":"Shanmuganathan","given":"Kadhiravan","non-dropping-particle":"","parse-names":false,"suffix":""},{"dropping-particle":"","family":"Ellison","given":"Christopher J.","non-dropping-particle":"","parse-names":false,"suffix":""}],"container-title":"Journal of Polymer Science, Part B: Polymer Physics","id":"ITEM-2","issue":"7","issued":{"date-parts":[["2013"]]},"page":"535-545","title":"Directing convection to pattern thin polymer films","type":"article-journal","volume":"51"},"uris":["http://www.mendeley.com/documents/?uuid=cc77c268-f915-4185-8b47-33a940ddd276"]},{"id":"ITEM-3","itemData":{"DOI":"10.1002/polb.23546","ISBN":"1099-0488","ISSN":"10990488","abstract":"The Marangoni effect describes how fluid flows in response to gradients in surface energy. This phenomenon could be broadly harnessed to pattern the surface topography of polymer films if generalizable techniques for programming surface energy gradients existed. Here, a near UV–visible light (NUV–vis) photosensitizer, 9,10-dibromo-anthracene (DBA), was doped into thin films of a model polymer, poly(isobutyl methacrylate). After exposure to light through a photomask and heating above the glass transition, thermolysis of photo-oxidized DBA and grafting to the polymer promoted flow of the film material into the exposed regions. This mechanism did not significantly alter the molecular weight of PiBMA or the film's glass transition temperature, but resulted in an increase in film surface energy as indicated by a decrease in water contact angle. Film height variations of 580 nm were produced using a mask with 12.5 μm features; a mask with 800 nm features was also employed to generate topographic features of corresponding width without expensive contacting equipment. Due to the broad absorbance spectra of DBA, highly accessible and/or unconventional light sources may be employed in this process; this advantage was demonstrated by patterning with sunlight. The nonspecific radical-mediated nature of the DBA grafting reaction makes this a promising approach for many classes of polymers. © 2014 Wiley Periodicals, Inc. J. Polym. Sci., Part B: Polym. Phys. 2014, 52, 1195–1202","author":[{"dropping-particle":"Bin","family":"Kim","given":"Chae","non-dropping-particle":"","parse-names":false,"suffix":""},{"dropping-particle":"","family":"Janes","given":"Dustin W.","non-dropping-particle":"","parse-names":false,"suffix":""},{"dropping-particle":"","family":"McGuffin","given":"Dana L.","non-dropping-particle":"","parse-names":false,"suffix":""},{"dropping-particle":"","family":"Ellison","given":"Christopher J.","non-dropping-particle":"","parse-names":false,"suffix":""}],"container-title":"Journal of Polymer Science, Part B: Polymer Physics","id":"ITEM-3","issue":"18","issued":{"date-parts":[["2014"]]},"page":"1195-1202","title":"Surface energy gradient driven convection for generating nanoscale and microscale patterned polymer films using photosensitizers","type":"article-journal","volume":"52"},"uris":["http://www.mendeley.com/documents/?uuid=cb8e2769-5a31-4b7d-b8bd-3ab501340f89"]},{"id":"ITEM-4","itemData":{"DOI":"10.1021/ma5010698","ISBN":"0024-9297","ISSN":"15205835","abstract":"Coatings and substrates with topographically patterned features will play an important role in efficient technologies for harvesting and transmitting light energy. In order to address these applications, a methodology for prescribing height profiles in polymer films is presented here. This is accomplished by photochemcially patterning a solid-state, sensitized polymer film. After heating the film above its glass transition temperature, melt-state flow is triggered and directed by the chemical pattern. A second light exposure was applied to fully activate a heat-stable photo-crosslinking additive. The features formed here are thermochemically stable and can act as an underlayer in a multilayered film. To exemplify this capability, these films were also used to direct the macroscopic film morphology of a block copolymer overlayer.","author":[{"dropping-particle":"","family":"Katzenstein","given":"Joshua M.","non-dropping-particle":"","parse-names":false,"suffix":""},{"dropping-particle":"Bin","family":"Kim","given":"Chae","non-dropping-particle":"","parse-names":false,"suffix":""},{"dropping-particle":"","family":"Prisco","given":"Nathan A.","non-dropping-particle":"","parse-names":false,"suffix":""},{"dropping-particle":"","family":"Katsumata","given":"Reika","non-dropping-particle":"","parse-names":false,"suffix":""},{"dropping-particle":"","family":"Li","given":"Zhenpeng","non-dropping-particle":"","parse-names":false,"suffix":""},{"dropping-particle":"","family":"Janes","given":"Dustin W.","non-dropping-particle":"","parse-names":false,"suffix":""},{"dropping-particle":"","family":"Blachut","given":"Gregory","non-dropping-particle":"","parse-names":false,"suffix":""},{"dropping-particle":"","family":"Ellison","given":"Christopher J.","non-dropping-particle":"","parse-names":false,"suffix":""}],"container-title":"Macromolecules","id":"ITEM-4","issue":"19","issued":{"date-parts":[["2014"]]},"page":"6804-6812","title":"A photochemical approach to directing flow and stabilizing topography in polymer films","type":"article-journal","volume":"47"},"uris":["http://www.mendeley.com/documents/?uuid=4e1a9c07-08ea-4de2-9507-105a8d4909f6"]},{"id":"ITEM-5","itemData":{"DOI":"10.1021/acs.chemmater.5b01744","ISSN":"15205002","abstract":"© 2015 American Chemical Society. The Marangoni effect causes liquids to flow toward localized regions of higher surface tension. In a thin film, such flow results in smooth thickness variations and may represent a practically useful route to manufacture topographically patterned surfaces. An especially versatile material for this application should be able to be spatially programmed to possess regions of higher or lower relative surface tension so that the direction of flow into or out of those areas could be directed with precision. To this end, we describe here a photopolymer whose melt-state surface tension can be selectively raised or lowered in the light exposed regions depending on the wavelength and dose of applied light. The direction of Marangoni flow into or out of the irradiated areas agreed with expected surface tension changes for photochemical transformations characterized by a variety of spectroscopic techniques and chromatographic experiments. The maximum film thickness variations achieved in this work are over 200 nm, which developed after only 5 min of thermal annealing. Both types of flow patterns can even be programmed sequentially into the same film and developed in a single thermal annealing step, which to our knowledge represents the first example of harnessing photochemical stimuli to bidirectionally control flow. (Figure Presented).","author":[{"dropping-particle":"Bin","family":"Kim","given":"Chae","non-dropping-particle":"","parse-names":false,"suffix":""},{"dropping-particle":"","family":"Janes","given":"Dustin W.","non-dropping-particle":"","parse-names":false,"suffix":""},{"dropping-particle":"","family":"Zhou","given":"Sunshine X.","non-dropping-particle":"","parse-names":false,"suffix":""},{"dropping-particle":"","family":"Dulaney","given":"Austin R.","non-dropping-particle":"","parse-names":false,"suffix":""},{"dropping-particle":"","family":"Ellison","given":"Christopher J.","non-dropping-particle":"","parse-names":false,"suffix":""}],"container-title":"Chemistry of Materials","id":"ITEM-5","issue":"13","issued":{"date-parts":[["2015"]]},"page":"4538-4545","title":"Bidirectional Control of Flow in Thin Polymer Films by Photochemically Manipulating Surface Tension","type":"article-journal","volume":"27"},"uris":["http://www.mendeley.com/documents/?uuid=562be4b6-a5c9-44b9-9705-f800bc4093e9"]},{"id":"ITEM-6","itemData":{"DOI":"10.1021/acs.macromol.7b00055","ISSN":"0024-9297, 1520-5835","author":[{"dropping-particle":"","family":"Jones","given":"Amanda R","non-dropping-particle":"","parse-names":false,"suffix":""},{"dropping-particle":"Bin","family":"Kim","given":"Chae","non-dropping-particle":"","parse-names":false,"suffix":""},{"dropping-particle":"","family":"Zhou","given":"Sunshine X","non-dropping-particle":"","parse-names":false,"suffix":""},{"dropping-particle":"","family":"Ha","given":"Heonjoo","non-dropping-particle":"","parse-names":false,"suffix":""},{"dropping-particle":"","family":"Katsumata","given":"Reika","non-dropping-particle":"","parse-names":false,"suffix":""},{"dropping-particle":"","family":"Blachut","given":"Gregory","non-dropping-particle":"","parse-names":false,"suffix":""},{"dropping-particle":"","family":"Bonnecaze","given":"Roger T","non-dropping-particle":"","parse-names":false,"suffix":""},{"dropping-particle":"","family":"Ellison","given":"Christopher J","non-dropping-particle":"","parse-names":false,"suffix":""}],"container-title":"Macromolecules","id":"ITEM-6","issue":"11","issued":{"date-parts":[["2017"]]},"page":"4588-4596","title":"Generating Large Thermally Stable Marangoni-Driven Topography in Polymer Films by Stabilizing the Surface Energy Gradient","type":"article-journal","volume":"50"},"uris":["http://www.mendeley.com/documents/?uuid=271d51f9-4ee8-4368-98dc-4c3496f604d4"]},{"id":"ITEM-7","itemData":{"DOI":"10.1039/c4sm01284d","ISBN":"1744-683X","ISSN":"17446848","PMID":"25160514","abstract":"A Marangoni flow is shown to occur when a polymer film possessing a spatially-defined surface energy pattern is heated above its glass transition to the liquid state. This can be harnessed to rapidly manufacture polymer films possessing prescribed height profiles. To quantify and verify this phenomenon, a model is described here which accurately predicts the formation, growth, and eventual dissipation of topographical features. The model predictions, based on numerical solutions of equations governing thin film dynamics with a Marangoni stress, are quantitatively compared to experimental measurements of thin polystyrene films containing photochemically patterned surface energy gradients. Good agreement between the model and the data is achieved at temperatures between 120 and 140 °C for a comprehensive range of heating times using reasonable physical properties as parameter inputs. For example, thickness variations that measure 102% of the starting film thickness are achieved in only 12 minutes of heating at 140 °C, values that are predicted by the model are within 6% and 3 min, respectively. The photochemical pattern that directed this flow possessed only a 0.2 dyne cm(-1) variation in surface tension between exposed and unexposed regions. The physical insights from the validated model suggest promising strategies to maximize the aspect ratio of the topographical features and minimize the processing time necessary to develop them.","author":[{"dropping-particle":"","family":"Arshad","given":"Talha A.","non-dropping-particle":"","parse-names":false,"suffix":""},{"dropping-particle":"Bin","family":"Kim","given":"Chae","non-dropping-particle":"","parse-names":false,"suffix":""},{"dropping-particle":"","family":"Prisco","given":"Nathan A.","non-dropping-particle":"","parse-names":false,"suffix":""},{"dropping-particle":"","family":"Katzenstein","given":"Joshua M.","non-dropping-particle":"","parse-names":false,"suffix":""},{"dropping-particle":"","family":"Janes","given":"Dustin W.","non-dropping-particle":"","parse-names":false,"suffix":""},{"dropping-particle":"","family":"Bonnecaze","given":"Roger T.","non-dropping-particle":"","parse-names":false,"suffix":""},{"dropping-particle":"","family":"Ellison","given":"Christopher J.","non-dropping-particle":"","parse-names":false,"suffix":""}],"container-title":"Soft Matter","id":"ITEM-7","issue":"40","issued":{"date-parts":[["2014"]]},"page":"8043-8050","title":"Precision Marangoni-driven patterning","type":"article-journal","volume":"10"},"uris":["http://www.mendeley.com/documents/?uuid=5e2c4292-883b-407a-9d0f-abbc6daef314"]},{"id":"ITEM-8","itemData":{"DOI":"10.1063/1.5132360","author":[{"dropping-particle":"","family":"Stanley","given":"Steven K","non-dropping-particle":"","parse-names":false,"suffix":""},{"dropping-particle":"","family":"Ellison","given":"Christopher J","non-dropping-particle":"","parse-names":false,"suffix":""},{"dropping-particle":"","family":"Bonnecaze","given":"Roger T","non-dropping-particle":"","parse-names":false,"suffix":""}],"container-title":"Journal of Applied Physics","id":"ITEM-8","issue":"October 2019","issued":{"date-parts":[["2020"]]},"page":"065304","publisher":"AIP Publishing LLC","title":"Control of Marangoni-driven patterning by an optimized distribution of surface energy Control of Marangoni-driven patterning by an optimized distribution of surface energy","type":"article-journal","volume":"127"},"uris":["http://www.mendeley.com/documents/?uuid=8d9532ef-2817-43f6-9aca-425cbedcea7b"]},{"id":"ITEM-9","itemData":{"DOI":"10.1016/j.colsurfa.2020.125217","ISSN":"0927-7757","author":[{"dropping-particle":"","family":"Stanley","given":"Steven K","non-dropping-particle":"","parse-names":false,"suffix":""},{"dropping-particle":"","family":"Bonnecaze","given":"Roger T","non-dropping-particle":"","parse-names":false,"suffix":""},{"dropping-particle":"","family":"","given":"","non-dropping-particle":"","parse-names":false,"suffix":""}],"container-title":"Colloids and Surfaces A: Physicochemical and Engineering Aspects","id":"ITEM-9","issued":{"date-parts":[["2020"]]},"page":"125217","publisher":"Elsevier BV","title":"Fundamental limits of Marangoni-driven patterning","type":"article-journal","volume":"603"},"uris":["http://www.mendeley.com/documents/?uuid=410f8186-4a21-4558-b808-fb24b1695b0b"]}],"mendeley":{"formattedCitation":"[1–9]","plainTextFormattedCitation":"[1–9]","previouslyFormattedCitation":"[1–9]"},"properties":{"noteIndex":0},"schema":"https://github.com/citation-style-language/schema/raw/master/csl-citation.json"}</w:instrText>
      </w:r>
      <w:r w:rsidRPr="00227786">
        <w:rPr>
          <w:rFonts w:ascii="Helvetica" w:hAnsi="Helvetica" w:cs="Helvetica"/>
          <w:sz w:val="22"/>
        </w:rPr>
        <w:fldChar w:fldCharType="separate"/>
      </w:r>
      <w:r w:rsidRPr="00227786">
        <w:rPr>
          <w:rFonts w:ascii="Helvetica" w:hAnsi="Helvetica" w:cs="Helvetica"/>
          <w:noProof/>
          <w:sz w:val="22"/>
        </w:rPr>
        <w:t>[1–9]</w:t>
      </w:r>
      <w:r w:rsidRPr="00227786">
        <w:rPr>
          <w:rFonts w:ascii="Helvetica" w:hAnsi="Helvetica" w:cs="Helvetica"/>
          <w:sz w:val="22"/>
        </w:rPr>
        <w:fldChar w:fldCharType="end"/>
      </w:r>
      <w:r w:rsidRPr="00227786">
        <w:rPr>
          <w:rFonts w:ascii="Helvetica" w:hAnsi="Helvetica" w:cs="Helvetica"/>
          <w:sz w:val="22"/>
        </w:rPr>
        <w:t xml:space="preserve">. This relatively new patterning technique has potential applications in functional coatings for improving light capture </w:t>
      </w:r>
      <w:r w:rsidRPr="00227786">
        <w:rPr>
          <w:rFonts w:ascii="Helvetica" w:hAnsi="Helvetica" w:cs="Helvetica"/>
          <w:sz w:val="22"/>
        </w:rPr>
        <w:fldChar w:fldCharType="begin" w:fldLock="1"/>
      </w:r>
      <w:r w:rsidRPr="00227786">
        <w:rPr>
          <w:rFonts w:ascii="Helvetica" w:hAnsi="Helvetica" w:cs="Helvetica"/>
          <w:sz w:val="22"/>
        </w:rPr>
        <w:instrText>ADDIN CSL_CITATION {"citationItems":[{"id":"ITEM-1","itemData":{"DOI":"10.1038/nphoton.2012.70","ISBN":"1749-4885","ISSN":"17494885","abstract":"Some of the simplest light-harvesting systems in nature rely on the presence of surface structures to increase internal light scattering. We have extended this concept to increase the efficiencies of man-made solar energy harvesting systems. Specifically, we exploit the wrinkles and deep folds that form on polymer surfaces when subjected to mechanical stress to guide and retain light within the photo-active regions of photovoltaics. Devices constructed on such surfaces show substantial improvements in light harvesting efficiencies, particularly in the near-infrared region where light absorption is otherwise minimal. We report a vast increase in the external quantum efficiency of polymer photovoltaics by more than 600% in the near-infrared, where the useful range of solar energy conversion is extended by more than 200 nm. This method of exploiting elastic instabilities of thin, layered materials is straightforward and represents an economical route to patterning photonic structures over large areas to improve the performance of optoelectronics.","author":[{"dropping-particle":"","family":"Kim","given":"Jong Bok","non-dropping-particle":"","parse-names":false,"suffix":""},{"dropping-particle":"","family":"Kim","given":"Pilnam","non-dropping-particle":"","parse-names":false,"suffix":""},{"dropping-particle":"","family":"Ṕgard","given":"Nicolas C.","non-dropping-particle":"","parse-names":false,"suffix":""},{"dropping-particle":"","family":"Oh","given":"Soong Ju","non-dropping-particle":"","parse-names":false,"suffix":""},{"dropping-particle":"","family":"Kagan","given":"Cherie R.","non-dropping-particle":"","parse-names":false,"suffix":""},{"dropping-particle":"","family":"Fleischer","given":"Jason W.","non-dropping-particle":"","parse-names":false,"suffix":""},{"dropping-particle":"","family":"Stone","given":"Howard A.","non-dropping-particle":"","parse-names":false,"suffix":""},{"dropping-particle":"","family":"Loo","given":"Yueh Lin","non-dropping-particle":"","parse-names":false,"suffix":""}],"container-title":"Nature Photonics","id":"ITEM-1","issue":"5","issued":{"date-parts":[["2012"]]},"page":"327-332","title":"Wrinkles and deep folds as photonic structures in photovoltaics","type":"article-journal","volume":"6"},"uris":["http://www.mendeley.com/documents/?uuid=30da87d1-5560-4d4d-8f1f-bf34d401fb09"]}],"mendeley":{"formattedCitation":"[10]","plainTextFormattedCitation":"[10]","previouslyFormattedCitation":"[10]"},"properties":{"noteIndex":0},"schema":"https://github.com/citation-style-language/schema/raw/master/csl-citation.json"}</w:instrText>
      </w:r>
      <w:r w:rsidRPr="00227786">
        <w:rPr>
          <w:rFonts w:ascii="Helvetica" w:hAnsi="Helvetica" w:cs="Helvetica"/>
          <w:sz w:val="22"/>
        </w:rPr>
        <w:fldChar w:fldCharType="separate"/>
      </w:r>
      <w:r w:rsidRPr="00227786">
        <w:rPr>
          <w:rFonts w:ascii="Helvetica" w:hAnsi="Helvetica" w:cs="Helvetica"/>
          <w:noProof/>
          <w:sz w:val="22"/>
        </w:rPr>
        <w:t>[10]</w:t>
      </w:r>
      <w:r w:rsidRPr="00227786">
        <w:rPr>
          <w:rFonts w:ascii="Helvetica" w:hAnsi="Helvetica" w:cs="Helvetica"/>
          <w:sz w:val="22"/>
        </w:rPr>
        <w:fldChar w:fldCharType="end"/>
      </w:r>
      <w:r w:rsidRPr="00227786">
        <w:rPr>
          <w:rFonts w:ascii="Helvetica" w:hAnsi="Helvetica" w:cs="Helvetica"/>
          <w:sz w:val="22"/>
        </w:rPr>
        <w:t xml:space="preserve">, adhesion </w:t>
      </w:r>
      <w:r w:rsidRPr="00227786">
        <w:rPr>
          <w:rFonts w:ascii="Helvetica" w:hAnsi="Helvetica" w:cs="Helvetica"/>
          <w:sz w:val="22"/>
        </w:rPr>
        <w:fldChar w:fldCharType="begin" w:fldLock="1"/>
      </w:r>
      <w:r w:rsidRPr="00227786">
        <w:rPr>
          <w:rFonts w:ascii="Helvetica" w:hAnsi="Helvetica" w:cs="Helvetica"/>
          <w:sz w:val="22"/>
        </w:rPr>
        <w:instrText>ADDIN CSL_CITATION {"citationItems":[{"id":"ITEM-1","itemData":{"DOI":"10.1021/la302314z","ISBN":"0743-7463","ISSN":"07437463","PMID":"23025884","abstract":"The adhesive properties of a material can be greatly affected simply by wrinkling its surface. We show the importance of selecting the wrinkle feature sizes (amplitude, b and wavelength, λ) that complement the materials-defined length scale related to the adhesion energy and modulus. A rigid circular cylindrical punch patterned with aligned wrinkles ranging in amplitude from 0.5 to 5.0μm with a fixed aspect ratio of 0.1 is used to characterize the adhesion of elastic films of smooth polydimethyl siloxane (PDMS). The crosslinker concentration used to form the PDMS layers is varied to determine the impact of materials properties on wrinkled surface adhesion. The elastic films have an average thickness of 240μm while the average probe radius is 1mm, leading to a confined contact scenario. Separation stress and work of debonding are presented for each crosslinker concentration with testing rates ranging over three orders of magnitude. For stiffer films (10wt% crosslinker, E'~3.00MPa), small wrinkles (b~0.5μm) increase the separation stress by nearly 200% relative to a smooth interface while large wrinkles (b~5.0μm) are shown to significantly reduce adhesion. A substantial increase in the debonding energy is also observed for these small amplitude wrinkles contacting stiff materials. No discernible impact of wrinkled surface topography on the adhesion of softer (2 and 4wt% crosslinker, 0.05MPa&lt;E'&lt;0.30MPa) films is measured.","author":[{"dropping-particle":"","family":"Davis","given":"Chelsea S.","non-dropping-particle":"","parse-names":false,"suffix":""},{"dropping-particle":"","family":"Martina","given":"David","non-dropping-particle":"","parse-names":false,"suffix":""},{"dropping-particle":"","family":"Creton","given":"Costantino","non-dropping-particle":"","parse-names":false,"suffix":""},{"dropping-particle":"","family":"Lindner","given":"Anke","non-dropping-particle":"","parse-names":false,"suffix":""},{"dropping-particle":"","family":"Crosby","given":"Alfred J.","non-dropping-particle":"","parse-names":false,"suffix":""}],"container-title":"Langmuir","id":"ITEM-1","issue":"42","issued":{"date-parts":[["2012"]]},"page":"14899-14908","title":"Enhanced adhesion of elastic materials to small-scale wrinkles","type":"article-journal","volume":"28"},"uris":["http://www.mendeley.com/documents/?uuid=1b75d681-60b9-402e-a121-64a97a1e760a"]}],"mendeley":{"formattedCitation":"[11]","plainTextFormattedCitation":"[11]","previouslyFormattedCitation":"[11]"},"properties":{"noteIndex":0},"schema":"https://github.com/citation-style-language/schema/raw/master/csl-citation.json"}</w:instrText>
      </w:r>
      <w:r w:rsidRPr="00227786">
        <w:rPr>
          <w:rFonts w:ascii="Helvetica" w:hAnsi="Helvetica" w:cs="Helvetica"/>
          <w:sz w:val="22"/>
        </w:rPr>
        <w:fldChar w:fldCharType="separate"/>
      </w:r>
      <w:r w:rsidRPr="00227786">
        <w:rPr>
          <w:rFonts w:ascii="Helvetica" w:hAnsi="Helvetica" w:cs="Helvetica"/>
          <w:noProof/>
          <w:sz w:val="22"/>
        </w:rPr>
        <w:t>[11]</w:t>
      </w:r>
      <w:r w:rsidRPr="00227786">
        <w:rPr>
          <w:rFonts w:ascii="Helvetica" w:hAnsi="Helvetica" w:cs="Helvetica"/>
          <w:sz w:val="22"/>
        </w:rPr>
        <w:fldChar w:fldCharType="end"/>
      </w:r>
      <w:r w:rsidRPr="00227786">
        <w:rPr>
          <w:rFonts w:ascii="Helvetica" w:hAnsi="Helvetica" w:cs="Helvetica"/>
          <w:sz w:val="22"/>
        </w:rPr>
        <w:t xml:space="preserve"> and antibiofouling properties </w:t>
      </w:r>
      <w:r w:rsidRPr="00227786">
        <w:rPr>
          <w:rFonts w:ascii="Helvetica" w:hAnsi="Helvetica" w:cs="Helvetica"/>
          <w:sz w:val="22"/>
        </w:rPr>
        <w:fldChar w:fldCharType="begin" w:fldLock="1"/>
      </w:r>
      <w:r w:rsidRPr="00227786">
        <w:rPr>
          <w:rFonts w:ascii="Helvetica" w:hAnsi="Helvetica" w:cs="Helvetica"/>
          <w:sz w:val="22"/>
        </w:rPr>
        <w:instrText>ADDIN CSL_CITATION {"citationItems":[{"id":"ITEM-1","itemData":{"DOI":"10.1080/08927010601136957","ISBN":"0892701060113","ISSN":"08927014","PMID":"17453729","abstract":"The effect of feature size, geometry, and roughness on the settlement of zoospores of the ship fouling alga Ulva was evaluated using engineered microtopographies in polydimethylsiloxane elastomer. The topographies studied were designed at a feature spacing of 2 microm and all significantly reduced spore settlement compared to a smooth surface. An indirect correlation between spore settlement and a newly described engineered roughness index (ERI) was identified. ERI is a dimensionless ratio based on Wenzel's roughness factor, depressed surface fraction, and the degree of freedom of spore movement. Uniform surfaces of either 2 mum diameter circular pillars (ERI=5.0) or 2 microm wide ridges (ERI=6.1) reduced settlement by 36% and 31%, respectively. A novel multi-feature topography consisting of 2 mum diameter circular pillars and 10 microm equilateral triangles (ERI=8.7) reduced spore settlement by 58%. The largest reduction in spore settlement, 77%, was obtained with the Sharklet AF topography (ERI=9.5).","author":[{"dropping-particle":"","family":"Schumacher","given":"James F.","non-dropping-particle":"","parse-names":false,"suffix":""},{"dropping-particle":"","family":"Carman","given":"Michelle L.","non-dropping-particle":"","parse-names":false,"suffix":""},{"dropping-particle":"","family":"Estes","given":"Thomas G.","non-dropping-particle":"","parse-names":false,"suffix":""},{"dropping-particle":"","family":"Feinberg","given":"Adam W.","non-dropping-particle":"","parse-names":false,"suffix":""},{"dropping-particle":"","family":"Wilson","given":"Leslie H.","non-dropping-particle":"","parse-names":false,"suffix":""},{"dropping-particle":"","family":"Callow","given":"Maureen E.","non-dropping-particle":"","parse-names":false,"suffix":""},{"dropping-particle":"","family":"Callow","given":"James A.","non-dropping-particle":"","parse-names":false,"suffix":""},{"dropping-particle":"","family":"Finlay","given":"John A.","non-dropping-particle":"","parse-names":false,"suffix":""},{"dropping-particle":"","family":"Brennan","given":"Anthony B.","non-dropping-particle":"","parse-names":false,"suffix":""}],"container-title":"Biofouling","id":"ITEM-1","issue":"1","issued":{"date-parts":[["2007"]]},"page":"55-62","title":"Engineered antifouling microtopographies - Effect of feature size, geometry, and roughness on settlement of zoospores of the green alga Ulva","type":"article-journal","volume":"23"},"uris":["http://www.mendeley.com/documents/?uuid=169c5889-771d-4e55-9218-f2e04bda108c"]}],"mendeley":{"formattedCitation":"[12]","plainTextFormattedCitation":"[12]","previouslyFormattedCitation":"[12]"},"properties":{"noteIndex":0},"schema":"https://github.com/citation-style-language/schema/raw/master/csl-citation.json"}</w:instrText>
      </w:r>
      <w:r w:rsidRPr="00227786">
        <w:rPr>
          <w:rFonts w:ascii="Helvetica" w:hAnsi="Helvetica" w:cs="Helvetica"/>
          <w:sz w:val="22"/>
        </w:rPr>
        <w:fldChar w:fldCharType="separate"/>
      </w:r>
      <w:r w:rsidRPr="00227786">
        <w:rPr>
          <w:rFonts w:ascii="Helvetica" w:hAnsi="Helvetica" w:cs="Helvetica"/>
          <w:noProof/>
          <w:sz w:val="22"/>
        </w:rPr>
        <w:t>[12]</w:t>
      </w:r>
      <w:r w:rsidRPr="00227786">
        <w:rPr>
          <w:rFonts w:ascii="Helvetica" w:hAnsi="Helvetica" w:cs="Helvetica"/>
          <w:sz w:val="22"/>
        </w:rPr>
        <w:fldChar w:fldCharType="end"/>
      </w:r>
      <w:r w:rsidRPr="00227786">
        <w:rPr>
          <w:rFonts w:ascii="Helvetica" w:hAnsi="Helvetica" w:cs="Helvetica"/>
          <w:sz w:val="22"/>
        </w:rPr>
        <w:t xml:space="preserve">. Patterns could also be used as an etch barrier for electronics fabrication. On account of its processing advantages, MDP is particularly promising for patterning at the roll-to-roll scale and could be applied in generating flexible functional coatings, electronics and metamaterials. Considering the size scales previously demonstrated by MDP, one particularly promising application is in patterning flexible terahertz spectrum metamaterials </w:t>
      </w:r>
      <w:r w:rsidRPr="00227786">
        <w:rPr>
          <w:rFonts w:ascii="Helvetica" w:hAnsi="Helvetica" w:cs="Helvetica"/>
          <w:sz w:val="22"/>
        </w:rPr>
        <w:fldChar w:fldCharType="begin" w:fldLock="1"/>
      </w:r>
      <w:r w:rsidRPr="00227786">
        <w:rPr>
          <w:rFonts w:ascii="Helvetica" w:hAnsi="Helvetica" w:cs="Helvetica"/>
          <w:sz w:val="22"/>
        </w:rPr>
        <w:instrText>ADDIN CSL_CITATION {"citationItems":[{"id":"ITEM-1","itemData":{"DOI":"10.1063/1.3665180","ISSN":"0003-6951","abstract":"In this work, we characterize the electromagnetic properties of polydimethylsiloxane (PDMS) and use this as a free-standing substrate for the realization of flexible fishnet metamaterials at terahertz frequencies. Across the 0.2-2.5 THz band, the refractive index and absorption coefficient of PDMS are estimated as 1.55 and 0-22 cm(-1), respectively. Electromagnetic modeling, multi-layer flexible electronics microfabrication, and terahertz time-domain spectroscopy are used in the design, fabrication, and characterization of the metamaterials, respectively. The properties of PDMS add a degree of freedom to terahertz metamaterials, with the potential for tuning by elastic deformation or integrated microfluidics. (C) 2012 American Institute of Physics. [doi:10.1063/1.3665180]","author":[{"dropping-particle":"","family":"Khodasevych","given":"I. E.","non-dropping-particle":"","parse-names":false,"suffix":""},{"dropping-particle":"","family":"Shah","given":"C. M.","non-dropping-particle":"","parse-names":false,"suffix":""},{"dropping-particle":"","family":"Sriram","given":"S.","non-dropping-particle":"","parse-names":false,"suffix":""},{"dropping-particle":"","family":"Bhaskaran","given":"M.","non-dropping-particle":"","parse-names":false,"suffix":""},{"dropping-particle":"","family":"Withayachumnankul","given":"W.","non-dropping-particle":"","parse-names":false,"suffix":""},{"dropping-particle":"","family":"Ung","given":"B. S.Y. Y","non-dropping-particle":"","parse-names":false,"suffix":""},{"dropping-particle":"","family":"Lin","given":"H.","non-dropping-particle":"","parse-names":false,"suffix":""},{"dropping-particle":"","family":"Rowe","given":"W. S.T. T","non-dropping-particle":"","parse-names":false,"suffix":""},{"dropping-particle":"","family":"Abbott","given":"D.","non-dropping-particle":"","parse-names":false,"suffix":""},{"dropping-particle":"","family":"Mitchell","given":"A.","non-dropping-particle":"","parse-names":false,"suffix":""}],"container-title":"Applied Physics Letters","id":"ITEM-1","issue":"6","issued":{"date-parts":[["2012"]]},"page":"61101","publisher":"AIP Publishing","title":"Elastomeric silicone substrates for terahertz fishnet metamaterials","type":"article-journal","volume":"100"},"uris":["http://www.mendeley.com/documents/?uuid=dfeda9a4-67d4-41ca-85e4-a4eeeb505a95"]},{"id":"ITEM-2","itemData":{"DOI":"10.1109/iedm.2008.4796673","author":[{"dropping-particle":"","family":"Tao","given":"Hu","non-dropping-particle":"","parse-names":false,"suffix":""},{"dropping-particle":"","family":"Landy","given":"N I","non-dropping-particle":"","parse-names":false,"suffix":""},{"dropping-particle":"","family":"Fan","given":"Kebin","non-dropping-particle":"","parse-names":false,"suffix":""},{"dropping-particle":"","family":"Strikwerda","given":"A C","non-dropping-particle":"","parse-names":false,"suffix":""},{"dropping-particle":"","family":"Padilla","given":"W J","non-dropping-particle":"","parse-names":false,"suffix":""},{"dropping-particle":"","family":"Averitt","given":"R D","non-dropping-particle":"","parse-names":false,"suffix":""},{"dropping-particle":"","family":"Zhang","given":"Xin","non-dropping-particle":"","parse-names":false,"suffix":""}],"container-title":"2008 IEEE International Electron Devices Meeting","id":"ITEM-2","issued":{"date-parts":[["2008"]]},"publisher":"IEEE","title":"Flexible terahertz metamaterials: towards a terahertz metamaterial invisible cloak","type":"paper-conference"},"uris":["http://www.mendeley.com/documents/?uuid=38069606-51c4-4a56-a982-04a921bcd431"]},{"id":"ITEM-3","itemData":{"DOI":"10.1109/tthz.2013.2285619","ISSN":"2156-342X","author":[{"dropping-particle":"","family":"Fan","given":"Kebin","non-dropping-particle":"","parse-names":false,"suffix":""},{"dropping-particle":"","family":"Zhao","given":"Xiaoguang","non-dropping-particle":"","parse-names":false,"suffix":""},{"dropping-particle":"","family":"Zhang","given":"Jingdi","non-dropping-particle":"","parse-names":false,"suffix":""},{"dropping-particle":"","family":"Geng","given":"Kun","non-dropping-particle":"","parse-names":false,"suffix":""},{"dropping-particle":"","family":"Keiser","given":"George R","non-dropping-particle":"","parse-names":false,"suffix":""},{"dropping-particle":"","family":"Seren","given":"Huseyin R","non-dropping-particle":"","parse-names":false,"suffix":""},{"dropping-particle":"","family":"Metcalfe","given":"Grace D","non-dropping-particle":"","parse-names":false,"suffix":""},{"dropping-particle":"","family":"Wraback","given":"Michael","non-dropping-particle":"","parse-names":false,"suffix":""},{"dropping-particle":"","family":"Zhang","given":"Xin","non-dropping-particle":"","parse-names":false,"suffix":""},{"dropping-particle":"","family":"Averitt","given":"Richard D","non-dropping-particle":"","parse-names":false,"suffix":""}],"container-title":"IEEE Transactions on Terahertz Science and Technology","id":"ITEM-3","issue":"6","issued":{"date-parts":[["2013"]]},"page":"702-708","publisher":"Institute of Electrical and Electronics Engineers (IEEE)","title":"Optically Tunable Terahertz Metamaterials on Highly Flexible Substrates","type":"article-journal","volume":"3"},"uris":["http://www.mendeley.com/documents/?uuid=a65f5200-3480-449d-acea-72a69c7538c6"]}],"mendeley":{"formattedCitation":"[13–15]","plainTextFormattedCitation":"[13–15]","previouslyFormattedCitation":"[13–15]"},"properties":{"noteIndex":0},"schema":"https://github.com/citation-style-language/schema/raw/master/csl-citation.json"}</w:instrText>
      </w:r>
      <w:r w:rsidRPr="00227786">
        <w:rPr>
          <w:rFonts w:ascii="Helvetica" w:hAnsi="Helvetica" w:cs="Helvetica"/>
          <w:sz w:val="22"/>
        </w:rPr>
        <w:fldChar w:fldCharType="separate"/>
      </w:r>
      <w:r w:rsidRPr="00227786">
        <w:rPr>
          <w:rFonts w:ascii="Helvetica" w:hAnsi="Helvetica" w:cs="Helvetica"/>
          <w:noProof/>
          <w:sz w:val="22"/>
        </w:rPr>
        <w:t>[13–15]</w:t>
      </w:r>
      <w:r w:rsidRPr="00227786">
        <w:rPr>
          <w:rFonts w:ascii="Helvetica" w:hAnsi="Helvetica" w:cs="Helvetica"/>
          <w:sz w:val="22"/>
        </w:rPr>
        <w:fldChar w:fldCharType="end"/>
      </w:r>
      <w:r w:rsidRPr="00227786">
        <w:rPr>
          <w:rFonts w:ascii="Helvetica" w:hAnsi="Helvetica" w:cs="Helvetica"/>
          <w:sz w:val="22"/>
        </w:rPr>
        <w:t>.</w:t>
      </w:r>
    </w:p>
    <w:p w14:paraId="5E963632" w14:textId="77777777" w:rsidR="00227786" w:rsidRPr="00227786" w:rsidRDefault="00227786" w:rsidP="00227786">
      <w:pPr>
        <w:rPr>
          <w:rFonts w:ascii="Helvetica" w:hAnsi="Helvetica" w:cs="Helvetica"/>
          <w:sz w:val="22"/>
        </w:rPr>
      </w:pPr>
    </w:p>
    <w:p w14:paraId="43A9F315" w14:textId="68B41BDB" w:rsidR="00227786" w:rsidRDefault="00227786" w:rsidP="00227786">
      <w:pPr>
        <w:jc w:val="both"/>
        <w:rPr>
          <w:rFonts w:ascii="Helvetica" w:hAnsi="Helvetica" w:cs="Helvetica"/>
          <w:sz w:val="22"/>
        </w:rPr>
      </w:pPr>
      <w:r w:rsidRPr="00227786">
        <w:rPr>
          <w:rFonts w:ascii="Helvetica" w:hAnsi="Helvetica" w:cs="Helvetica"/>
          <w:sz w:val="22"/>
        </w:rPr>
        <w:t xml:space="preserve">MDP begins by selectively exposing a photosensitive polymer film of initial thickness, </w:t>
      </w:r>
      <w:r w:rsidRPr="00227786">
        <w:rPr>
          <w:rFonts w:ascii="Helvetica" w:hAnsi="Helvetica" w:cs="Helvetica"/>
          <w:i/>
          <w:iCs/>
          <w:sz w:val="22"/>
        </w:rPr>
        <w:t>h</w:t>
      </w:r>
      <w:r w:rsidRPr="00227786">
        <w:rPr>
          <w:rFonts w:ascii="Helvetica" w:hAnsi="Helvetica" w:cs="Helvetica"/>
          <w:sz w:val="22"/>
          <w:vertAlign w:val="subscript"/>
        </w:rPr>
        <w:t>0</w:t>
      </w:r>
      <w:r w:rsidRPr="00227786">
        <w:rPr>
          <w:rFonts w:ascii="Helvetica" w:hAnsi="Helvetica" w:cs="Helvetica"/>
          <w:sz w:val="22"/>
        </w:rPr>
        <w:t xml:space="preserve">, to UV light using a photomask. Contact photomasks have been used historically for the exposure step, but other maskless exposure techniques could also be used </w:t>
      </w:r>
      <w:r w:rsidRPr="00227786">
        <w:rPr>
          <w:rFonts w:ascii="Helvetica" w:hAnsi="Helvetica" w:cs="Helvetica"/>
          <w:sz w:val="22"/>
        </w:rPr>
        <w:fldChar w:fldCharType="begin" w:fldLock="1"/>
      </w:r>
      <w:r w:rsidRPr="00227786">
        <w:rPr>
          <w:rFonts w:ascii="Helvetica" w:hAnsi="Helvetica" w:cs="Helvetica"/>
          <w:sz w:val="22"/>
        </w:rPr>
        <w:instrText>ADDIN CSL_CITATION {"citationItems":[{"id":"ITEM-1","itemData":{"DOI":"10.1016/s1369-7021(05)00699-1","ISSN":"1369-7021","author":[{"dropping-particle":"","family":"Menon","given":"Rajesh","non-dropping-particle":"","parse-names":false,"suffix":""},{"dropping-particle":"","family":"Patel","given":"Amil","non-dropping-particle":"","parse-names":false,"suffix":""},{"dropping-particle":"","family":"Gil","given":"Dario","non-dropping-particle":"","parse-names":false,"suffix":""},{"dropping-particle":"","family":"Smith","given":"Henry I","non-dropping-particle":"","parse-names":false,"suffix":""}],"container-title":"Materials Today","id":"ITEM-1","issue":"2","issued":{"date-parts":[["2005"]]},"page":"26-33","publisher":"Elsevier BV","title":"Maskless lithography","type":"article-journal","volume":"8"},"uris":["http://www.mendeley.com/documents/?uuid=ef58d50b-3cbb-4eb4-bc77-ef65c8850bba"]}],"mendeley":{"formattedCitation":"[16]","plainTextFormattedCitation":"[16]","previouslyFormattedCitation":"[16]"},"properties":{"noteIndex":0},"schema":"https://github.com/citation-style-language/schema/raw/master/csl-citation.json"}</w:instrText>
      </w:r>
      <w:r w:rsidRPr="00227786">
        <w:rPr>
          <w:rFonts w:ascii="Helvetica" w:hAnsi="Helvetica" w:cs="Helvetica"/>
          <w:sz w:val="22"/>
        </w:rPr>
        <w:fldChar w:fldCharType="separate"/>
      </w:r>
      <w:r w:rsidRPr="00227786">
        <w:rPr>
          <w:rFonts w:ascii="Helvetica" w:hAnsi="Helvetica" w:cs="Helvetica"/>
          <w:noProof/>
          <w:sz w:val="22"/>
        </w:rPr>
        <w:t>[16]</w:t>
      </w:r>
      <w:r w:rsidRPr="00227786">
        <w:rPr>
          <w:rFonts w:ascii="Helvetica" w:hAnsi="Helvetica" w:cs="Helvetica"/>
          <w:sz w:val="22"/>
        </w:rPr>
        <w:fldChar w:fldCharType="end"/>
      </w:r>
      <w:r w:rsidRPr="00227786">
        <w:rPr>
          <w:rFonts w:ascii="Helvetica" w:hAnsi="Helvetica" w:cs="Helvetica"/>
          <w:sz w:val="22"/>
        </w:rPr>
        <w:t xml:space="preserve">. In the UV exposed regions of the film, a chemical reaction occurs and increases the surface tension. This surface energy profile is dormant and activates upon heating the polymer above its glass transition temperature, which allows the polymer to flow into the regions of higher surface tension. Initially, where the surface tension gradient is sharp, double peaks form but eventually merge into a more sinusoidal topography with central height, </w:t>
      </w:r>
      <w:r w:rsidRPr="00227786">
        <w:rPr>
          <w:rFonts w:ascii="Helvetica" w:hAnsi="Helvetica" w:cs="Helvetica"/>
          <w:i/>
          <w:iCs/>
          <w:sz w:val="22"/>
        </w:rPr>
        <w:t>h</w:t>
      </w:r>
      <w:r w:rsidRPr="00227786">
        <w:rPr>
          <w:rFonts w:ascii="Helvetica" w:hAnsi="Helvetica" w:cs="Helvetica"/>
          <w:sz w:val="22"/>
          <w:vertAlign w:val="subscript"/>
        </w:rPr>
        <w:t>c</w:t>
      </w:r>
      <w:r w:rsidRPr="00227786">
        <w:rPr>
          <w:rFonts w:ascii="Helvetica" w:hAnsi="Helvetica" w:cs="Helvetica"/>
          <w:sz w:val="22"/>
        </w:rPr>
        <w:t xml:space="preserve">. If the polymer is annealed for long enough, diffusion of the surface tension promoter weakens Marangoni forces, allowing capillary forces to replanarize the film. If the polymer is cooled below its glass transition temperature, the topography can be preserved. This topography can then be used as a functional coating or could be used as an etch barrier for pattern transfer. </w:t>
      </w:r>
    </w:p>
    <w:p w14:paraId="2ED35AFB" w14:textId="14B52767" w:rsidR="00693E6F" w:rsidRPr="00693E6F" w:rsidRDefault="00693E6F" w:rsidP="007D1AA9">
      <w:pPr>
        <w:jc w:val="both"/>
        <w:rPr>
          <w:rFonts w:ascii="Helvetica" w:hAnsi="Helvetica" w:cs="Helvetica"/>
          <w:b/>
          <w:sz w:val="22"/>
        </w:rPr>
      </w:pPr>
      <w:r w:rsidRPr="00693E6F">
        <w:rPr>
          <w:rFonts w:ascii="Helvetica" w:hAnsi="Helvetica" w:cs="Helvetica"/>
          <w:b/>
          <w:sz w:val="22"/>
        </w:rPr>
        <w:lastRenderedPageBreak/>
        <w:t>C</w:t>
      </w:r>
      <w:r>
        <w:rPr>
          <w:rFonts w:ascii="Helvetica" w:hAnsi="Helvetica" w:cs="Helvetica"/>
          <w:b/>
          <w:sz w:val="22"/>
        </w:rPr>
        <w:t>ontrolling Feature Shape-Theory</w:t>
      </w:r>
    </w:p>
    <w:p w14:paraId="19F68CF9" w14:textId="0CB59186" w:rsidR="007D1AA9" w:rsidRPr="00101077" w:rsidRDefault="007D1AA9" w:rsidP="007D1AA9">
      <w:pPr>
        <w:jc w:val="both"/>
        <w:rPr>
          <w:rFonts w:ascii="Helvetica" w:hAnsi="Helvetica" w:cs="Helvetica"/>
          <w:sz w:val="22"/>
        </w:rPr>
      </w:pPr>
      <w:r w:rsidRPr="00101077">
        <w:rPr>
          <w:rFonts w:ascii="Helvetica" w:hAnsi="Helvetica" w:cs="Helvetica"/>
          <w:sz w:val="22"/>
        </w:rPr>
        <w:t xml:space="preserve">Controlling the feature shape and critical dimensions is essential in patterning applications, and it has been shown that MDP suffers from poor shape control </w:t>
      </w:r>
      <w:r w:rsidRPr="00101077">
        <w:rPr>
          <w:rFonts w:ascii="Helvetica" w:hAnsi="Helvetica" w:cs="Helvetica"/>
          <w:sz w:val="22"/>
        </w:rPr>
        <w:fldChar w:fldCharType="begin" w:fldLock="1"/>
      </w:r>
      <w:r w:rsidRPr="00101077">
        <w:rPr>
          <w:rFonts w:ascii="Helvetica" w:hAnsi="Helvetica" w:cs="Helvetica"/>
          <w:sz w:val="22"/>
        </w:rPr>
        <w:instrText>ADDIN CSL_CITATION {"citationItems":[{"id":"ITEM-1","itemData":{"DOI":"10.1063/1.5132360","author":[{"dropping-particle":"","family":"Stanley","given":"Steven K","non-dropping-particle":"","parse-names":false,"suffix":""},{"dropping-particle":"","family":"Ellison","given":"Christopher J","non-dropping-particle":"","parse-names":false,"suffix":""},{"dropping-particle":"","family":"Bonnecaze","given":"Roger T","non-dropping-particle":"","parse-names":false,"suffix":""}],"container-title":"Journal of Applied Physics","id":"ITEM-1","issue":"October 2019","issued":{"date-parts":[["2020"]]},"page":"065304","publisher":"AIP Publishing LLC","title":"Control of Marangoni-driven patterning by an optimized distribution of surface energy Control of Marangoni-driven patterning by an optimized distribution of surface energy","type":"article-journal","volume":"127"},"uris":["http://www.mendeley.com/documents/?uuid=8d9532ef-2817-43f6-9aca-425cbedcea7b"]}],"mendeley":{"formattedCitation":"[8]","plainTextFormattedCitation":"[8]","previouslyFormattedCitation":"[8]"},"properties":{"noteIndex":0},"schema":"https://github.com/citation-style-language/schema/raw/master/csl-citation.json"}</w:instrText>
      </w:r>
      <w:r w:rsidRPr="00101077">
        <w:rPr>
          <w:rFonts w:ascii="Helvetica" w:hAnsi="Helvetica" w:cs="Helvetica"/>
          <w:sz w:val="22"/>
        </w:rPr>
        <w:fldChar w:fldCharType="separate"/>
      </w:r>
      <w:r w:rsidRPr="00101077">
        <w:rPr>
          <w:rFonts w:ascii="Helvetica" w:hAnsi="Helvetica" w:cs="Helvetica"/>
          <w:noProof/>
          <w:sz w:val="22"/>
        </w:rPr>
        <w:t>[8]</w:t>
      </w:r>
      <w:r w:rsidRPr="00101077">
        <w:rPr>
          <w:rFonts w:ascii="Helvetica" w:hAnsi="Helvetica" w:cs="Helvetica"/>
          <w:sz w:val="22"/>
        </w:rPr>
        <w:fldChar w:fldCharType="end"/>
      </w:r>
      <w:r w:rsidRPr="00101077">
        <w:rPr>
          <w:rFonts w:ascii="Helvetica" w:hAnsi="Helvetica" w:cs="Helvetica"/>
          <w:sz w:val="22"/>
        </w:rPr>
        <w:t xml:space="preserve">. Simulations show that two-dimensional patterns generated using an intuitive square-shaped photomask results in rounded corners, curved sidewalls, and contours that are too small or too large, as shown in Fig. </w:t>
      </w:r>
      <w:r w:rsidRPr="00101077">
        <w:rPr>
          <w:rFonts w:ascii="Helvetica" w:hAnsi="Helvetica" w:cs="Helvetica"/>
          <w:sz w:val="22"/>
        </w:rPr>
        <w:t>1</w:t>
      </w:r>
      <w:r w:rsidRPr="00101077">
        <w:rPr>
          <w:rFonts w:ascii="Helvetica" w:hAnsi="Helvetica" w:cs="Helvetica"/>
          <w:sz w:val="22"/>
        </w:rPr>
        <w:t xml:space="preserve">. This poor pattern overlap results from a combination of detrimental capillary and diffusion forces. Capillary forces drive the surface to assume a minimal energy conformation, thereby rounding the square. Additionally, diffusion causes the initially square surface tension profile to blur into a more circular shape. To compensate for these forces, it is possible to manipulate the exposure and initial surface tension field to generate more favorable flow patterns and better feature-target overlap. In recent simulation-based work, we demonstrated an algorithm for optimizing the film exposure and resulting surface tension gradient for improved pattern formation </w:t>
      </w:r>
      <w:r w:rsidRPr="00101077">
        <w:rPr>
          <w:rFonts w:ascii="Helvetica" w:hAnsi="Helvetica" w:cs="Helvetica"/>
          <w:sz w:val="22"/>
        </w:rPr>
        <w:fldChar w:fldCharType="begin" w:fldLock="1"/>
      </w:r>
      <w:r w:rsidRPr="00101077">
        <w:rPr>
          <w:rFonts w:ascii="Helvetica" w:hAnsi="Helvetica" w:cs="Helvetica"/>
          <w:sz w:val="22"/>
        </w:rPr>
        <w:instrText>ADDIN CSL_CITATION {"citationItems":[{"id":"ITEM-1","itemData":{"DOI":"10.1063/1.5132360","author":[{"dropping-particle":"","family":"Stanley","given":"Steven K","non-dropping-particle":"","parse-names":false,"suffix":""},{"dropping-particle":"","family":"Ellison","given":"Christopher J","non-dropping-particle":"","parse-names":false,"suffix":""},{"dropping-particle":"","family":"Bonnecaze","given":"Roger T","non-dropping-particle":"","parse-names":false,"suffix":""}],"container-title":"Journal of Applied Physics","id":"ITEM-1","issue":"October 2019","issued":{"date-parts":[["2020"]]},"page":"065304","publisher":"AIP Publishing LLC","title":"Control of Marangoni-driven patterning by an optimized distribution of surface energy Control of Marangoni-driven patterning by an optimized distribution of surface energy","type":"article-journal","volume":"127"},"uris":["http://www.mendeley.com/documents/?uuid=8d9532ef-2817-43f6-9aca-425cbedcea7b"]}],"mendeley":{"formattedCitation":"[8]","plainTextFormattedCitation":"[8]","previouslyFormattedCitation":"[8]"},"properties":{"noteIndex":0},"schema":"https://github.com/citation-style-language/schema/raw/master/csl-citation.json"}</w:instrText>
      </w:r>
      <w:r w:rsidRPr="00101077">
        <w:rPr>
          <w:rFonts w:ascii="Helvetica" w:hAnsi="Helvetica" w:cs="Helvetica"/>
          <w:sz w:val="22"/>
        </w:rPr>
        <w:fldChar w:fldCharType="separate"/>
      </w:r>
      <w:r w:rsidRPr="00101077">
        <w:rPr>
          <w:rFonts w:ascii="Helvetica" w:hAnsi="Helvetica" w:cs="Helvetica"/>
          <w:noProof/>
          <w:sz w:val="22"/>
        </w:rPr>
        <w:t>[8]</w:t>
      </w:r>
      <w:r w:rsidRPr="00101077">
        <w:rPr>
          <w:rFonts w:ascii="Helvetica" w:hAnsi="Helvetica" w:cs="Helvetica"/>
          <w:sz w:val="22"/>
        </w:rPr>
        <w:fldChar w:fldCharType="end"/>
      </w:r>
      <w:r w:rsidRPr="00101077">
        <w:rPr>
          <w:rFonts w:ascii="Helvetica" w:hAnsi="Helvetica" w:cs="Helvetica"/>
          <w:sz w:val="22"/>
        </w:rPr>
        <w:t>. This work showed that by judiciously placing exposure “pixels” in the photomask, the fluid flow could be altered to form sharper features more in line with the target contour. Building on that work, here we experimentally determine the effectiveness of the photomask optimization method.</w:t>
      </w:r>
    </w:p>
    <w:p w14:paraId="228AE10F" w14:textId="77777777" w:rsidR="007D1AA9" w:rsidRDefault="007D1AA9" w:rsidP="007D1AA9"/>
    <w:p w14:paraId="44E8C38E" w14:textId="77777777" w:rsidR="007D1AA9" w:rsidRDefault="007D1AA9" w:rsidP="007D1AA9">
      <w:pPr>
        <w:keepNext/>
      </w:pPr>
      <w:r>
        <w:rPr>
          <w:noProof/>
        </w:rPr>
        <w:drawing>
          <wp:inline distT="0" distB="0" distL="0" distR="0" wp14:anchorId="794C064E" wp14:editId="749AE85A">
            <wp:extent cx="5943600" cy="1768475"/>
            <wp:effectExtent l="0" t="0" r="0" b="0"/>
            <wp:docPr id="44" name="Picture 4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2 - IntuitiveMaskFeaturesContour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768475"/>
                    </a:xfrm>
                    <a:prstGeom prst="rect">
                      <a:avLst/>
                    </a:prstGeom>
                  </pic:spPr>
                </pic:pic>
              </a:graphicData>
            </a:graphic>
          </wp:inline>
        </w:drawing>
      </w:r>
    </w:p>
    <w:p w14:paraId="30A306E3" w14:textId="45771FED" w:rsidR="007D1AA9" w:rsidRPr="005B6D03" w:rsidRDefault="007D1AA9" w:rsidP="00693E6F">
      <w:pPr>
        <w:pStyle w:val="Heading8"/>
        <w:ind w:left="180" w:right="180" w:firstLine="0"/>
        <w:jc w:val="both"/>
      </w:pPr>
      <w:r w:rsidRPr="007D1AA9">
        <w:rPr>
          <w:rFonts w:ascii="Helvetica" w:hAnsi="Helvetica" w:cs="Helvetica"/>
          <w:b/>
          <w:bCs/>
          <w:sz w:val="20"/>
        </w:rPr>
        <w:t xml:space="preserve">Figure </w:t>
      </w:r>
      <w:r>
        <w:rPr>
          <w:rFonts w:ascii="Helvetica" w:hAnsi="Helvetica" w:cs="Helvetica"/>
          <w:b/>
          <w:bCs/>
          <w:sz w:val="20"/>
        </w:rPr>
        <w:t>1.</w:t>
      </w:r>
      <w:r w:rsidRPr="007D1AA9">
        <w:rPr>
          <w:rFonts w:ascii="Helvetica" w:hAnsi="Helvetica" w:cs="Helvetica"/>
          <w:sz w:val="20"/>
        </w:rPr>
        <w:t xml:space="preserve"> Photomask, simulated features, and pattern contours compared to 50x50</w:t>
      </w:r>
      <w:r w:rsidRPr="007D1AA9">
        <w:rPr>
          <w:sz w:val="20"/>
        </w:rPr>
        <w:t xml:space="preserve"> </w:t>
      </w:r>
      <w:r w:rsidRPr="003A7875">
        <w:t>μ</w:t>
      </w:r>
      <w:r w:rsidRPr="007D1AA9">
        <w:rPr>
          <w:rFonts w:ascii="Helvetica" w:hAnsi="Helvetica" w:cs="Helvetica"/>
          <w:sz w:val="20"/>
        </w:rPr>
        <w:t>m</w:t>
      </w:r>
      <w:r w:rsidRPr="007D1AA9">
        <w:rPr>
          <w:rFonts w:ascii="Helvetica" w:hAnsi="Helvetica" w:cs="Helvetica"/>
          <w:sz w:val="20"/>
          <w:vertAlign w:val="superscript"/>
        </w:rPr>
        <w:t>2</w:t>
      </w:r>
      <w:r w:rsidRPr="007D1AA9">
        <w:rPr>
          <w:rFonts w:ascii="Helvetica" w:hAnsi="Helvetica" w:cs="Helvetica"/>
          <w:sz w:val="20"/>
        </w:rPr>
        <w:t xml:space="preserve"> target</w:t>
      </w:r>
      <w:r w:rsidRPr="003A7875">
        <w:t xml:space="preserve">. </w:t>
      </w:r>
      <w:r w:rsidRPr="007D1AA9">
        <w:rPr>
          <w:rFonts w:ascii="Helvetica" w:hAnsi="Helvetica" w:cs="Helvetica"/>
          <w:sz w:val="20"/>
        </w:rPr>
        <w:t>Yellow regions of the photomask are exposed with higher surface tension, whereas dark areas are opaque. The polymer flows towards the center of the exposed, higher surface tension region. Feature profile and contours were taken at an annealing time of 5,000 seconds. The red outline in a) shows the target dimensions. Feature contours are extracted at h = h</w:t>
      </w:r>
      <w:r w:rsidRPr="007D1AA9">
        <w:rPr>
          <w:rFonts w:ascii="Helvetica" w:hAnsi="Helvetica" w:cs="Helvetica"/>
          <w:sz w:val="20"/>
          <w:vertAlign w:val="subscript"/>
        </w:rPr>
        <w:t>0</w:t>
      </w:r>
      <w:r w:rsidRPr="007D1AA9">
        <w:rPr>
          <w:rFonts w:ascii="Helvetica" w:hAnsi="Helvetica" w:cs="Helvetica"/>
          <w:sz w:val="20"/>
        </w:rPr>
        <w:t xml:space="preserve"> = 150 nm, denoted by the red cut in b). This red cut is for demonstration only and do not represent the dimensions of the target. Note that the features are not drawn to scale, where the lateral scale is on the order of microns, while the vertical scale is on the order of nanometers. Details regarding the simulation will be provided later.</w:t>
      </w:r>
    </w:p>
    <w:p w14:paraId="690433FF" w14:textId="518C6D0F" w:rsidR="00BB0EFA" w:rsidRDefault="00BB0EFA" w:rsidP="00BB0EFA">
      <w:pPr>
        <w:jc w:val="both"/>
        <w:rPr>
          <w:rFonts w:ascii="Helvetica" w:hAnsi="Helvetica" w:cs="Helvetica"/>
          <w:sz w:val="22"/>
        </w:rPr>
      </w:pPr>
      <w:r w:rsidRPr="00101077">
        <w:rPr>
          <w:rFonts w:ascii="Helvetica" w:hAnsi="Helvetica" w:cs="Helvetica"/>
          <w:sz w:val="22"/>
        </w:rPr>
        <w:t>Fig. 2</w:t>
      </w:r>
      <w:r w:rsidRPr="00101077">
        <w:rPr>
          <w:rFonts w:ascii="Helvetica" w:hAnsi="Helvetica" w:cs="Helvetica"/>
          <w:sz w:val="22"/>
        </w:rPr>
        <w:t xml:space="preserve"> shows the optimized photomasks for the square and L-shaped features using the primary parameters at the short annealing time. Note that the square photomask is generally larger than the target so as to correct the previous undershoot. Furthermore, the corners have been elongated and the edges bowed outwards to compensate for the corner and edge rounding. The L-shape mask, on the other hand, is larger in some areas and carved out in others. These pixel-level corrections had a generally positive effect on the outer regions of the resulting L-shape contour, but the concave, interior corner did not receive the same degree of correction. This highlights the limitation of the method in simultaneously optimizing different pattern structures.</w:t>
      </w:r>
      <w:r w:rsidRPr="00101077">
        <w:rPr>
          <w:rFonts w:ascii="Helvetica" w:hAnsi="Helvetica" w:cs="Helvetica"/>
          <w:sz w:val="22"/>
        </w:rPr>
        <w:t xml:space="preserve">  </w:t>
      </w:r>
      <w:r w:rsidRPr="00101077">
        <w:rPr>
          <w:rFonts w:ascii="Helvetica" w:hAnsi="Helvetica" w:cs="Helvetica"/>
          <w:sz w:val="22"/>
        </w:rPr>
        <w:t>From simulations, the quality of the resulting patterns was satisfactory and comparable to our previous study. We next examine the effectiveness of the method in practice.</w:t>
      </w:r>
    </w:p>
    <w:p w14:paraId="1340C9BE" w14:textId="37884A14" w:rsidR="000657DA" w:rsidRDefault="000657DA" w:rsidP="00BB0EFA">
      <w:pPr>
        <w:jc w:val="both"/>
        <w:rPr>
          <w:rFonts w:ascii="Helvetica" w:hAnsi="Helvetica" w:cs="Helvetica"/>
          <w:sz w:val="22"/>
        </w:rPr>
      </w:pPr>
    </w:p>
    <w:p w14:paraId="4FFC79EF" w14:textId="77777777" w:rsidR="000657DA" w:rsidRPr="000657DA" w:rsidRDefault="000657DA" w:rsidP="000657DA">
      <w:pPr>
        <w:jc w:val="both"/>
        <w:rPr>
          <w:rFonts w:ascii="Helvetica" w:hAnsi="Helvetica" w:cs="Helvetica"/>
          <w:sz w:val="22"/>
        </w:rPr>
      </w:pPr>
    </w:p>
    <w:p w14:paraId="6316D108" w14:textId="77777777" w:rsidR="00BB0EFA" w:rsidRDefault="00BB0EFA" w:rsidP="00BB0EFA">
      <w:pPr>
        <w:tabs>
          <w:tab w:val="left" w:pos="1051"/>
        </w:tabs>
      </w:pPr>
      <w:r>
        <w:rPr>
          <w:noProof/>
        </w:rPr>
        <w:lastRenderedPageBreak/>
        <w:drawing>
          <wp:inline distT="0" distB="0" distL="0" distR="0" wp14:anchorId="651EF160" wp14:editId="6F1ED9D2">
            <wp:extent cx="5943600" cy="3507740"/>
            <wp:effectExtent l="0" t="0" r="0" b="0"/>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8 - OptimizedSquareAndLShap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07740"/>
                    </a:xfrm>
                    <a:prstGeom prst="rect">
                      <a:avLst/>
                    </a:prstGeom>
                  </pic:spPr>
                </pic:pic>
              </a:graphicData>
            </a:graphic>
          </wp:inline>
        </w:drawing>
      </w:r>
    </w:p>
    <w:p w14:paraId="7D5E1384" w14:textId="6D406D05" w:rsidR="00BB0EFA" w:rsidRPr="00BB0EFA" w:rsidRDefault="00BB0EFA" w:rsidP="00693E6F">
      <w:pPr>
        <w:pStyle w:val="Heading8"/>
        <w:ind w:left="180" w:right="180" w:firstLine="0"/>
        <w:jc w:val="both"/>
        <w:rPr>
          <w:rFonts w:ascii="Helvetica" w:hAnsi="Helvetica" w:cs="Helvetica"/>
          <w:i/>
          <w:sz w:val="20"/>
        </w:rPr>
      </w:pPr>
      <w:r w:rsidRPr="00BB0EFA">
        <w:rPr>
          <w:rFonts w:ascii="Helvetica" w:hAnsi="Helvetica" w:cs="Helvetica"/>
          <w:b/>
          <w:sz w:val="20"/>
        </w:rPr>
        <w:t xml:space="preserve">Figure </w:t>
      </w:r>
      <w:r w:rsidR="000657DA">
        <w:rPr>
          <w:rFonts w:ascii="Helvetica" w:hAnsi="Helvetica" w:cs="Helvetica"/>
          <w:b/>
          <w:sz w:val="20"/>
        </w:rPr>
        <w:t>2</w:t>
      </w:r>
      <w:r>
        <w:rPr>
          <w:rFonts w:ascii="Helvetica" w:hAnsi="Helvetica" w:cs="Helvetica"/>
          <w:b/>
          <w:sz w:val="20"/>
        </w:rPr>
        <w:t>.</w:t>
      </w:r>
      <w:r w:rsidRPr="00BB0EFA">
        <w:rPr>
          <w:rFonts w:ascii="Helvetica" w:hAnsi="Helvetica" w:cs="Helvetica"/>
          <w:sz w:val="20"/>
        </w:rPr>
        <w:t xml:space="preserve"> Optimized square and L-shaped photomasks, simulated features, and pattern contours compared to the corresponding targets. Feature profile and contours taken at an annealing time of 5,000 seconds. The optimized photomasks were obtained through the optimization method using the Sample 8 primary parameters. The red outline in a) and d) shows the target dimensions. The red cut in b) and e) is for demonstration only and does not represent the target dimensions. Feature contours are extracted at </w:t>
      </w:r>
      <w:r w:rsidRPr="00BB0EFA">
        <w:rPr>
          <w:rFonts w:ascii="Helvetica" w:hAnsi="Helvetica" w:cs="Helvetica"/>
          <w:i/>
          <w:iCs/>
          <w:sz w:val="20"/>
        </w:rPr>
        <w:t>h</w:t>
      </w:r>
      <w:r w:rsidRPr="00BB0EFA">
        <w:rPr>
          <w:rFonts w:ascii="Helvetica" w:hAnsi="Helvetica" w:cs="Helvetica"/>
          <w:sz w:val="20"/>
        </w:rPr>
        <w:t xml:space="preserve"> = </w:t>
      </w:r>
      <w:r w:rsidRPr="00BB0EFA">
        <w:rPr>
          <w:rFonts w:ascii="Helvetica" w:hAnsi="Helvetica" w:cs="Helvetica"/>
          <w:i/>
          <w:iCs/>
          <w:sz w:val="20"/>
        </w:rPr>
        <w:t>h</w:t>
      </w:r>
      <w:r w:rsidRPr="00BB0EFA">
        <w:rPr>
          <w:rFonts w:ascii="Helvetica" w:hAnsi="Helvetica" w:cs="Helvetica"/>
          <w:sz w:val="20"/>
          <w:vertAlign w:val="subscript"/>
        </w:rPr>
        <w:t>0</w:t>
      </w:r>
      <w:r w:rsidRPr="00BB0EFA">
        <w:rPr>
          <w:rFonts w:ascii="Helvetica" w:hAnsi="Helvetica" w:cs="Helvetica"/>
          <w:sz w:val="20"/>
        </w:rPr>
        <w:t xml:space="preserve"> = 150 nm. Note that the features in b) and e) are not drawn to scale, where the lateral scale is on the order of microns, while the vertical scale is on the order of nanometers.</w:t>
      </w:r>
    </w:p>
    <w:p w14:paraId="2294755C" w14:textId="77777777" w:rsidR="00A06245" w:rsidRDefault="00A06245" w:rsidP="00A06245">
      <w:pPr>
        <w:jc w:val="both"/>
        <w:rPr>
          <w:rFonts w:ascii="Helvetica" w:hAnsi="Helvetica" w:cs="Helvetica"/>
          <w:b/>
          <w:sz w:val="22"/>
        </w:rPr>
      </w:pPr>
      <w:r w:rsidRPr="00693E6F">
        <w:rPr>
          <w:rFonts w:ascii="Helvetica" w:hAnsi="Helvetica" w:cs="Helvetica"/>
          <w:b/>
          <w:sz w:val="22"/>
        </w:rPr>
        <w:t>C</w:t>
      </w:r>
      <w:r>
        <w:rPr>
          <w:rFonts w:ascii="Helvetica" w:hAnsi="Helvetica" w:cs="Helvetica"/>
          <w:b/>
          <w:sz w:val="22"/>
        </w:rPr>
        <w:t>ontrolling Feature Shape-Experiments</w:t>
      </w:r>
    </w:p>
    <w:p w14:paraId="002B9ADF" w14:textId="1B92C9EF" w:rsidR="000657DA" w:rsidRDefault="00A06245" w:rsidP="00693E6F">
      <w:pPr>
        <w:jc w:val="both"/>
        <w:rPr>
          <w:rFonts w:ascii="Helvetica" w:hAnsi="Helvetica" w:cs="Helvetica"/>
          <w:sz w:val="22"/>
        </w:rPr>
      </w:pPr>
      <w:r>
        <w:rPr>
          <w:rFonts w:ascii="Helvetica" w:hAnsi="Helvetica" w:cs="Helvetica"/>
          <w:sz w:val="22"/>
        </w:rPr>
        <w:t xml:space="preserve">Experiments were performed on different size square masks and masks optimized for the square shape.  The results are shown in Fig 3. Images were taken with an optical profilometer.  The large square resulted in a structure closer to that of the target and the optimized mask did even better.  This is borne out by quantitative measures of the error.  </w:t>
      </w:r>
      <w:r>
        <w:rPr>
          <w:rFonts w:ascii="Helvetica" w:hAnsi="Helvetica" w:cs="Helvetica"/>
          <w:sz w:val="22"/>
        </w:rPr>
        <w:t xml:space="preserve"> </w:t>
      </w:r>
      <w:r w:rsidR="000657DA">
        <w:rPr>
          <w:rFonts w:ascii="Helvetica" w:hAnsi="Helvetica" w:cs="Helvetica"/>
          <w:sz w:val="22"/>
        </w:rPr>
        <w:t xml:space="preserve">Figure 4 shows the results of experiments with the L-shaped pattern.  The optimized L-shaped pattern does a much better at reproducing the structure than the basic L-shaped photomask.  </w:t>
      </w:r>
    </w:p>
    <w:p w14:paraId="5D1C6DF4" w14:textId="26B311A5" w:rsidR="00A06245" w:rsidRDefault="00A06245" w:rsidP="00693E6F">
      <w:pPr>
        <w:jc w:val="both"/>
        <w:rPr>
          <w:rFonts w:ascii="Helvetica" w:hAnsi="Helvetica" w:cs="Helvetica"/>
          <w:sz w:val="22"/>
        </w:rPr>
      </w:pPr>
    </w:p>
    <w:p w14:paraId="2EE61341" w14:textId="49A05973" w:rsidR="00A06245" w:rsidRDefault="00A06245" w:rsidP="00A06245">
      <w:pPr>
        <w:jc w:val="center"/>
        <w:rPr>
          <w:rFonts w:ascii="Helvetica" w:hAnsi="Helvetica" w:cs="Helvetica"/>
          <w:b/>
          <w:sz w:val="22"/>
        </w:rPr>
      </w:pPr>
      <w:r>
        <w:rPr>
          <w:noProof/>
        </w:rPr>
        <w:lastRenderedPageBreak/>
        <w:drawing>
          <wp:inline distT="0" distB="0" distL="0" distR="0" wp14:anchorId="279476FB" wp14:editId="05A54BBC">
            <wp:extent cx="5022673" cy="61899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10 - ActualSquareContou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0652" cy="6199813"/>
                    </a:xfrm>
                    <a:prstGeom prst="rect">
                      <a:avLst/>
                    </a:prstGeom>
                  </pic:spPr>
                </pic:pic>
              </a:graphicData>
            </a:graphic>
          </wp:inline>
        </w:drawing>
      </w:r>
    </w:p>
    <w:p w14:paraId="77C87224" w14:textId="77777777" w:rsidR="00A06245" w:rsidRDefault="00A06245" w:rsidP="00693E6F">
      <w:pPr>
        <w:jc w:val="both"/>
        <w:rPr>
          <w:rFonts w:ascii="Helvetica" w:hAnsi="Helvetica" w:cs="Helvetica"/>
          <w:b/>
          <w:sz w:val="22"/>
        </w:rPr>
      </w:pPr>
    </w:p>
    <w:p w14:paraId="358215B7" w14:textId="2157285C" w:rsidR="00A06245" w:rsidRPr="00BB0EFA" w:rsidRDefault="00A06245" w:rsidP="00A06245">
      <w:pPr>
        <w:pStyle w:val="Heading8"/>
        <w:ind w:left="180" w:right="180" w:firstLine="0"/>
        <w:jc w:val="both"/>
        <w:rPr>
          <w:rFonts w:ascii="Helvetica" w:hAnsi="Helvetica" w:cs="Helvetica"/>
          <w:i/>
          <w:sz w:val="20"/>
        </w:rPr>
      </w:pPr>
      <w:r w:rsidRPr="00BB0EFA">
        <w:rPr>
          <w:rFonts w:ascii="Helvetica" w:hAnsi="Helvetica" w:cs="Helvetica"/>
          <w:b/>
          <w:sz w:val="20"/>
        </w:rPr>
        <w:t xml:space="preserve">Figure </w:t>
      </w:r>
      <w:r>
        <w:rPr>
          <w:rFonts w:ascii="Helvetica" w:hAnsi="Helvetica" w:cs="Helvetica"/>
          <w:b/>
          <w:sz w:val="20"/>
        </w:rPr>
        <w:t>3</w:t>
      </w:r>
      <w:r>
        <w:rPr>
          <w:rFonts w:ascii="Helvetica" w:hAnsi="Helvetica" w:cs="Helvetica"/>
          <w:b/>
          <w:sz w:val="20"/>
        </w:rPr>
        <w:t>.</w:t>
      </w:r>
      <w:r w:rsidRPr="00BB0EFA">
        <w:rPr>
          <w:rFonts w:ascii="Helvetica" w:hAnsi="Helvetica" w:cs="Helvetica"/>
          <w:sz w:val="20"/>
        </w:rPr>
        <w:t xml:space="preserve"> </w:t>
      </w:r>
      <w:r>
        <w:rPr>
          <w:rFonts w:ascii="Helvetica" w:hAnsi="Helvetica" w:cs="Helvetica"/>
          <w:sz w:val="20"/>
        </w:rPr>
        <w:t xml:space="preserve">Square and optimized mask for square patterns (left) and the measured results (right) from optical profilometry.  </w:t>
      </w:r>
      <w:r w:rsidRPr="00BB0EFA">
        <w:rPr>
          <w:rFonts w:ascii="Helvetica" w:hAnsi="Helvetica" w:cs="Helvetica"/>
          <w:sz w:val="20"/>
        </w:rPr>
        <w:t xml:space="preserve">Feature profile and contours taken at an annealing time of 5,000 seconds. </w:t>
      </w:r>
      <w:r>
        <w:rPr>
          <w:rFonts w:ascii="Helvetica" w:hAnsi="Helvetica" w:cs="Helvetica"/>
          <w:sz w:val="20"/>
        </w:rPr>
        <w:t>Simulated, actual and target feature profiles at the nominal average film thickness are shown by the colored lines noted in the legend.</w:t>
      </w:r>
      <w:r w:rsidR="003B3406">
        <w:rPr>
          <w:rFonts w:ascii="Helvetica" w:hAnsi="Helvetica" w:cs="Helvetica"/>
          <w:sz w:val="20"/>
        </w:rPr>
        <w:t xml:space="preserve"> a) 50 </w:t>
      </w:r>
      <w:r w:rsidR="003B3406" w:rsidRPr="003B3406">
        <w:rPr>
          <w:rFonts w:ascii="Symbol" w:hAnsi="Symbol" w:cs="Helvetica"/>
          <w:sz w:val="20"/>
        </w:rPr>
        <w:t></w:t>
      </w:r>
      <w:r w:rsidR="003B3406">
        <w:rPr>
          <w:rFonts w:ascii="Helvetica" w:hAnsi="Helvetica" w:cs="Helvetica"/>
          <w:sz w:val="20"/>
        </w:rPr>
        <w:t xml:space="preserve">m square photomask, b) 58 </w:t>
      </w:r>
      <w:r w:rsidR="003B3406" w:rsidRPr="003B3406">
        <w:rPr>
          <w:rFonts w:ascii="Symbol" w:hAnsi="Symbol" w:cs="Helvetica"/>
          <w:sz w:val="20"/>
        </w:rPr>
        <w:t></w:t>
      </w:r>
      <w:r w:rsidR="003B3406">
        <w:rPr>
          <w:rFonts w:ascii="Helvetica" w:hAnsi="Helvetica" w:cs="Helvetica"/>
          <w:sz w:val="20"/>
        </w:rPr>
        <w:t>m square photomask and c) optimized photomask.</w:t>
      </w:r>
    </w:p>
    <w:p w14:paraId="3F5BD0D7" w14:textId="77777777" w:rsidR="00A06245" w:rsidRDefault="00A06245" w:rsidP="00693E6F">
      <w:pPr>
        <w:jc w:val="both"/>
        <w:rPr>
          <w:rFonts w:ascii="Helvetica" w:hAnsi="Helvetica" w:cs="Helvetica"/>
          <w:b/>
          <w:sz w:val="22"/>
        </w:rPr>
      </w:pPr>
    </w:p>
    <w:p w14:paraId="641E22AD" w14:textId="01F87F97" w:rsidR="00A06245" w:rsidRDefault="00D72C2B" w:rsidP="00D72C2B">
      <w:pPr>
        <w:jc w:val="center"/>
        <w:rPr>
          <w:rFonts w:ascii="Helvetica" w:hAnsi="Helvetica" w:cs="Helvetica"/>
          <w:b/>
          <w:sz w:val="22"/>
        </w:rPr>
      </w:pPr>
      <w:r>
        <w:rPr>
          <w:noProof/>
        </w:rPr>
        <w:lastRenderedPageBreak/>
        <w:drawing>
          <wp:inline distT="0" distB="0" distL="0" distR="0" wp14:anchorId="354376CF" wp14:editId="7831AA75">
            <wp:extent cx="5486400" cy="4485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10 - ActualLShapeContour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485640"/>
                    </a:xfrm>
                    <a:prstGeom prst="rect">
                      <a:avLst/>
                    </a:prstGeom>
                  </pic:spPr>
                </pic:pic>
              </a:graphicData>
            </a:graphic>
          </wp:inline>
        </w:drawing>
      </w:r>
    </w:p>
    <w:p w14:paraId="76D8FE44" w14:textId="38FE329C" w:rsidR="00A06245" w:rsidRDefault="00A06245" w:rsidP="00693E6F">
      <w:pPr>
        <w:jc w:val="both"/>
        <w:rPr>
          <w:rFonts w:ascii="Helvetica" w:hAnsi="Helvetica" w:cs="Helvetica"/>
          <w:b/>
          <w:sz w:val="22"/>
        </w:rPr>
      </w:pPr>
    </w:p>
    <w:p w14:paraId="5973F29F" w14:textId="0B60CFF7" w:rsidR="00D72C2B" w:rsidRPr="00BB0EFA" w:rsidRDefault="00D72C2B" w:rsidP="00D72C2B">
      <w:pPr>
        <w:pStyle w:val="Heading8"/>
        <w:ind w:left="180" w:right="180" w:firstLine="0"/>
        <w:jc w:val="both"/>
        <w:rPr>
          <w:rFonts w:ascii="Helvetica" w:hAnsi="Helvetica" w:cs="Helvetica"/>
          <w:i/>
          <w:sz w:val="20"/>
        </w:rPr>
      </w:pPr>
      <w:r w:rsidRPr="00BB0EFA">
        <w:rPr>
          <w:rFonts w:ascii="Helvetica" w:hAnsi="Helvetica" w:cs="Helvetica"/>
          <w:b/>
          <w:sz w:val="20"/>
        </w:rPr>
        <w:t xml:space="preserve">Figure </w:t>
      </w:r>
      <w:r>
        <w:rPr>
          <w:rFonts w:ascii="Helvetica" w:hAnsi="Helvetica" w:cs="Helvetica"/>
          <w:b/>
          <w:sz w:val="20"/>
        </w:rPr>
        <w:t>4</w:t>
      </w:r>
      <w:r>
        <w:rPr>
          <w:rFonts w:ascii="Helvetica" w:hAnsi="Helvetica" w:cs="Helvetica"/>
          <w:b/>
          <w:sz w:val="20"/>
        </w:rPr>
        <w:t>.</w:t>
      </w:r>
      <w:r w:rsidRPr="00BB0EFA">
        <w:rPr>
          <w:rFonts w:ascii="Helvetica" w:hAnsi="Helvetica" w:cs="Helvetica"/>
          <w:sz w:val="20"/>
        </w:rPr>
        <w:t xml:space="preserve"> </w:t>
      </w:r>
      <w:r>
        <w:rPr>
          <w:rFonts w:ascii="Helvetica" w:hAnsi="Helvetica" w:cs="Helvetica"/>
          <w:sz w:val="20"/>
        </w:rPr>
        <w:t>L-shape</w:t>
      </w:r>
      <w:r>
        <w:rPr>
          <w:rFonts w:ascii="Helvetica" w:hAnsi="Helvetica" w:cs="Helvetica"/>
          <w:sz w:val="20"/>
        </w:rPr>
        <w:t xml:space="preserve"> and optimized mask for </w:t>
      </w:r>
      <w:r>
        <w:rPr>
          <w:rFonts w:ascii="Helvetica" w:hAnsi="Helvetica" w:cs="Helvetica"/>
          <w:sz w:val="20"/>
        </w:rPr>
        <w:t>L-shaped</w:t>
      </w:r>
      <w:r>
        <w:rPr>
          <w:rFonts w:ascii="Helvetica" w:hAnsi="Helvetica" w:cs="Helvetica"/>
          <w:sz w:val="20"/>
        </w:rPr>
        <w:t xml:space="preserve"> patterns (left) and the measured results (right) from optical profilometry.  </w:t>
      </w:r>
      <w:r w:rsidRPr="00BB0EFA">
        <w:rPr>
          <w:rFonts w:ascii="Helvetica" w:hAnsi="Helvetica" w:cs="Helvetica"/>
          <w:sz w:val="20"/>
        </w:rPr>
        <w:t xml:space="preserve">Feature profile and contours taken at an annealing time of 5,000 seconds. </w:t>
      </w:r>
      <w:r>
        <w:rPr>
          <w:rFonts w:ascii="Helvetica" w:hAnsi="Helvetica" w:cs="Helvetica"/>
          <w:sz w:val="20"/>
        </w:rPr>
        <w:t>Simulated, actual and target feature profiles at the nominal average film thickness are shown by the colored lines noted in the legend.</w:t>
      </w:r>
      <w:r w:rsidR="003B3406">
        <w:rPr>
          <w:rFonts w:ascii="Helvetica" w:hAnsi="Helvetica" w:cs="Helvetica"/>
          <w:sz w:val="20"/>
        </w:rPr>
        <w:t xml:space="preserve"> </w:t>
      </w:r>
      <w:r w:rsidR="003B3406">
        <w:rPr>
          <w:rFonts w:ascii="Helvetica" w:hAnsi="Helvetica" w:cs="Helvetica"/>
          <w:sz w:val="20"/>
        </w:rPr>
        <w:t xml:space="preserve">a) 50 </w:t>
      </w:r>
      <w:r w:rsidR="003B3406" w:rsidRPr="003B3406">
        <w:rPr>
          <w:rFonts w:ascii="Symbol" w:hAnsi="Symbol" w:cs="Helvetica"/>
          <w:sz w:val="20"/>
        </w:rPr>
        <w:t></w:t>
      </w:r>
      <w:r w:rsidR="003B3406">
        <w:rPr>
          <w:rFonts w:ascii="Helvetica" w:hAnsi="Helvetica" w:cs="Helvetica"/>
          <w:sz w:val="20"/>
        </w:rPr>
        <w:t xml:space="preserve">m </w:t>
      </w:r>
      <w:r w:rsidR="003B3406">
        <w:rPr>
          <w:rFonts w:ascii="Helvetica" w:hAnsi="Helvetica" w:cs="Helvetica"/>
          <w:sz w:val="20"/>
        </w:rPr>
        <w:t xml:space="preserve">x 25 </w:t>
      </w:r>
      <w:r w:rsidR="003B3406" w:rsidRPr="003B3406">
        <w:rPr>
          <w:rFonts w:ascii="Symbol" w:hAnsi="Symbol" w:cs="Helvetica"/>
          <w:sz w:val="20"/>
        </w:rPr>
        <w:t></w:t>
      </w:r>
      <w:r w:rsidR="003B3406">
        <w:rPr>
          <w:rFonts w:ascii="Helvetica" w:hAnsi="Helvetica" w:cs="Helvetica"/>
          <w:sz w:val="20"/>
        </w:rPr>
        <w:t>m</w:t>
      </w:r>
      <w:r w:rsidR="003B3406">
        <w:rPr>
          <w:rFonts w:ascii="Helvetica" w:hAnsi="Helvetica" w:cs="Helvetica"/>
          <w:sz w:val="20"/>
        </w:rPr>
        <w:t xml:space="preserve"> L-shaped photomask </w:t>
      </w:r>
      <w:r w:rsidR="003B3406">
        <w:rPr>
          <w:rFonts w:ascii="Helvetica" w:hAnsi="Helvetica" w:cs="Helvetica"/>
          <w:sz w:val="20"/>
        </w:rPr>
        <w:t xml:space="preserve">and </w:t>
      </w:r>
      <w:r w:rsidR="003B3406">
        <w:rPr>
          <w:rFonts w:ascii="Helvetica" w:hAnsi="Helvetica" w:cs="Helvetica"/>
          <w:sz w:val="20"/>
        </w:rPr>
        <w:t>b</w:t>
      </w:r>
      <w:r w:rsidR="003B3406">
        <w:rPr>
          <w:rFonts w:ascii="Helvetica" w:hAnsi="Helvetica" w:cs="Helvetica"/>
          <w:sz w:val="20"/>
        </w:rPr>
        <w:t>) optimized photomask.</w:t>
      </w:r>
    </w:p>
    <w:p w14:paraId="623ADC9C" w14:textId="77777777" w:rsidR="00D72C2B" w:rsidRPr="00A06245" w:rsidRDefault="00D72C2B" w:rsidP="00D72C2B">
      <w:pPr>
        <w:jc w:val="both"/>
        <w:rPr>
          <w:rFonts w:ascii="Helvetica" w:hAnsi="Helvetica" w:cs="Helvetica"/>
          <w:b/>
          <w:sz w:val="22"/>
        </w:rPr>
      </w:pPr>
      <w:r w:rsidRPr="00A06245">
        <w:rPr>
          <w:rFonts w:ascii="Helvetica" w:hAnsi="Helvetica" w:cs="Helvetica"/>
          <w:b/>
          <w:sz w:val="22"/>
        </w:rPr>
        <w:t>Conclusions</w:t>
      </w:r>
    </w:p>
    <w:p w14:paraId="072E3EA4" w14:textId="77777777" w:rsidR="00D72C2B" w:rsidRDefault="00D72C2B" w:rsidP="00D72C2B">
      <w:pPr>
        <w:jc w:val="both"/>
        <w:rPr>
          <w:rFonts w:ascii="Helvetica" w:hAnsi="Helvetica" w:cs="Helvetica"/>
          <w:sz w:val="22"/>
        </w:rPr>
      </w:pPr>
      <w:r>
        <w:rPr>
          <w:rFonts w:ascii="Helvetica" w:hAnsi="Helvetica" w:cs="Helvetica"/>
          <w:sz w:val="22"/>
        </w:rPr>
        <w:t xml:space="preserve">Shape control of three-dimensional features on a polymer film is possible with Marangoni-driven patterning by optimizing the photomask that creates the surface tension distribution on the film.  The optimized photomask does substantially better than intuitive masks of the same dimensions.  This demonstrates a new contactless, roll-to-roll process for potentially manipulating the surfaces of polymer films.  </w:t>
      </w:r>
    </w:p>
    <w:p w14:paraId="642EDD44" w14:textId="1425D79F" w:rsidR="00A06245" w:rsidRDefault="00A06245" w:rsidP="00FD64F2">
      <w:pPr>
        <w:jc w:val="both"/>
        <w:rPr>
          <w:rFonts w:ascii="Helvetica" w:hAnsi="Helvetica" w:cs="Helvetica"/>
          <w:sz w:val="22"/>
        </w:rPr>
      </w:pPr>
    </w:p>
    <w:p w14:paraId="0FC1D5A9" w14:textId="0668683F" w:rsidR="00D72C2B" w:rsidRPr="00D72C2B" w:rsidRDefault="00D72C2B" w:rsidP="00FD64F2">
      <w:pPr>
        <w:jc w:val="both"/>
        <w:rPr>
          <w:rFonts w:ascii="Helvetica" w:hAnsi="Helvetica" w:cs="Helvetica"/>
          <w:b/>
          <w:sz w:val="22"/>
        </w:rPr>
      </w:pPr>
      <w:r w:rsidRPr="00D72C2B">
        <w:rPr>
          <w:rFonts w:ascii="Helvetica" w:hAnsi="Helvetica" w:cs="Helvetica"/>
          <w:b/>
          <w:sz w:val="22"/>
        </w:rPr>
        <w:t>References</w:t>
      </w:r>
      <w:bookmarkStart w:id="0" w:name="_GoBack"/>
      <w:bookmarkEnd w:id="0"/>
    </w:p>
    <w:p w14:paraId="7EDDA327" w14:textId="77777777" w:rsidR="00D72C2B" w:rsidRPr="00D72C2B" w:rsidRDefault="00D72C2B" w:rsidP="00D72C2B">
      <w:pPr>
        <w:widowControl w:val="0"/>
        <w:spacing w:line="240" w:lineRule="atLeast"/>
        <w:ind w:left="640" w:hanging="640"/>
        <w:jc w:val="both"/>
        <w:rPr>
          <w:rFonts w:ascii="Helvetica" w:hAnsi="Helvetica" w:cs="Helvetica"/>
          <w:noProof/>
        </w:rPr>
      </w:pPr>
      <w:r w:rsidRPr="00D72C2B">
        <w:rPr>
          <w:rFonts w:ascii="Helvetica" w:hAnsi="Helvetica" w:cs="Helvetica"/>
        </w:rPr>
        <w:fldChar w:fldCharType="begin" w:fldLock="1"/>
      </w:r>
      <w:r w:rsidRPr="00D72C2B">
        <w:rPr>
          <w:rFonts w:ascii="Helvetica" w:hAnsi="Helvetica" w:cs="Helvetica"/>
        </w:rPr>
        <w:instrText xml:space="preserve">ADDIN Mendeley Bibliography CSL_BIBLIOGRAPHY </w:instrText>
      </w:r>
      <w:r w:rsidRPr="00D72C2B">
        <w:rPr>
          <w:rFonts w:ascii="Helvetica" w:hAnsi="Helvetica" w:cs="Helvetica"/>
        </w:rPr>
        <w:fldChar w:fldCharType="separate"/>
      </w:r>
      <w:r w:rsidRPr="00D72C2B">
        <w:rPr>
          <w:rFonts w:ascii="Helvetica" w:hAnsi="Helvetica" w:cs="Helvetica"/>
          <w:noProof/>
        </w:rPr>
        <w:t>[1]</w:t>
      </w:r>
      <w:r w:rsidRPr="00D72C2B">
        <w:rPr>
          <w:rFonts w:ascii="Helvetica" w:hAnsi="Helvetica" w:cs="Helvetica"/>
          <w:noProof/>
        </w:rPr>
        <w:tab/>
        <w:t>J.M. Katzenstein, D.W. Janes, J.D. Cushen, N.B. Hira, D.L. McGuffin, N.A. Prisco, C.J. Ellison, Patterning by photochemically directing the Marangoni Effect, ACS Macro Lett. 1 (2012) 1150–1154. https://doi.org/10.1021/mz300400p.</w:t>
      </w:r>
    </w:p>
    <w:p w14:paraId="17C902DD" w14:textId="77777777" w:rsidR="00D72C2B" w:rsidRPr="00D72C2B" w:rsidRDefault="00D72C2B" w:rsidP="00D72C2B">
      <w:pPr>
        <w:widowControl w:val="0"/>
        <w:spacing w:line="240" w:lineRule="atLeast"/>
        <w:ind w:left="640" w:hanging="640"/>
        <w:jc w:val="both"/>
        <w:rPr>
          <w:rFonts w:ascii="Helvetica" w:hAnsi="Helvetica" w:cs="Helvetica"/>
          <w:noProof/>
        </w:rPr>
      </w:pPr>
      <w:r w:rsidRPr="00D72C2B">
        <w:rPr>
          <w:rFonts w:ascii="Helvetica" w:hAnsi="Helvetica" w:cs="Helvetica"/>
          <w:noProof/>
        </w:rPr>
        <w:t>[2]</w:t>
      </w:r>
      <w:r w:rsidRPr="00D72C2B">
        <w:rPr>
          <w:rFonts w:ascii="Helvetica" w:hAnsi="Helvetica" w:cs="Helvetica"/>
          <w:noProof/>
        </w:rPr>
        <w:tab/>
        <w:t>D.W. Janes, J.M. Katzenstein, K. Shanmuganathan, C.J. Ellison, Directing convection to pattern thin polymer films, J. Polym. Sci. Part B Polym. Phys. 51 (2013) 535–545. https://doi.org/10.1002/polb.23262.</w:t>
      </w:r>
    </w:p>
    <w:p w14:paraId="157F852C" w14:textId="77777777" w:rsidR="00D72C2B" w:rsidRPr="00D72C2B" w:rsidRDefault="00D72C2B" w:rsidP="00D72C2B">
      <w:pPr>
        <w:widowControl w:val="0"/>
        <w:spacing w:line="240" w:lineRule="atLeast"/>
        <w:ind w:left="640" w:hanging="640"/>
        <w:jc w:val="both"/>
        <w:rPr>
          <w:rFonts w:ascii="Helvetica" w:hAnsi="Helvetica" w:cs="Helvetica"/>
          <w:noProof/>
        </w:rPr>
      </w:pPr>
      <w:r w:rsidRPr="00D72C2B">
        <w:rPr>
          <w:rFonts w:ascii="Helvetica" w:hAnsi="Helvetica" w:cs="Helvetica"/>
          <w:noProof/>
        </w:rPr>
        <w:t>[3]</w:t>
      </w:r>
      <w:r w:rsidRPr="00D72C2B">
        <w:rPr>
          <w:rFonts w:ascii="Helvetica" w:hAnsi="Helvetica" w:cs="Helvetica"/>
          <w:noProof/>
        </w:rPr>
        <w:tab/>
        <w:t xml:space="preserve">C. Bin Kim, D.W. Janes, D.L. McGuffin, C.J. Ellison, Surface energy gradient driven convection for generating nanoscale and microscale patterned polymer films using photosensitizers, J. Polym. Sci. </w:t>
      </w:r>
      <w:r w:rsidRPr="00D72C2B">
        <w:rPr>
          <w:rFonts w:ascii="Helvetica" w:hAnsi="Helvetica" w:cs="Helvetica"/>
          <w:noProof/>
        </w:rPr>
        <w:lastRenderedPageBreak/>
        <w:t>Part B Polym. Phys. 52 (2014) 1195–1202. https://doi.org/10.1002/polb.23546.</w:t>
      </w:r>
    </w:p>
    <w:p w14:paraId="582494E4" w14:textId="77777777" w:rsidR="00D72C2B" w:rsidRPr="00D72C2B" w:rsidRDefault="00D72C2B" w:rsidP="00D72C2B">
      <w:pPr>
        <w:widowControl w:val="0"/>
        <w:spacing w:line="240" w:lineRule="atLeast"/>
        <w:ind w:left="640" w:hanging="640"/>
        <w:jc w:val="both"/>
        <w:rPr>
          <w:rFonts w:ascii="Helvetica" w:hAnsi="Helvetica" w:cs="Helvetica"/>
          <w:noProof/>
        </w:rPr>
      </w:pPr>
      <w:r w:rsidRPr="00D72C2B">
        <w:rPr>
          <w:rFonts w:ascii="Helvetica" w:hAnsi="Helvetica" w:cs="Helvetica"/>
          <w:noProof/>
        </w:rPr>
        <w:t>[4]</w:t>
      </w:r>
      <w:r w:rsidRPr="00D72C2B">
        <w:rPr>
          <w:rFonts w:ascii="Helvetica" w:hAnsi="Helvetica" w:cs="Helvetica"/>
          <w:noProof/>
        </w:rPr>
        <w:tab/>
        <w:t>J.M. Katzenstein, C. Bin Kim, N.A. Prisco, R. Katsumata, Z. Li, D.W. Janes, G. Blachut, C.J. Ellison, A photochemical approach to directing flow and stabilizing topography in polymer films, Macromolecules. 47 (2014) 6804–6812. https://doi.org/10.1021/ma5010698.</w:t>
      </w:r>
    </w:p>
    <w:p w14:paraId="0E70D99B" w14:textId="77777777" w:rsidR="00D72C2B" w:rsidRPr="00D72C2B" w:rsidRDefault="00D72C2B" w:rsidP="00D72C2B">
      <w:pPr>
        <w:widowControl w:val="0"/>
        <w:spacing w:line="240" w:lineRule="atLeast"/>
        <w:ind w:left="640" w:hanging="640"/>
        <w:jc w:val="both"/>
        <w:rPr>
          <w:rFonts w:ascii="Helvetica" w:hAnsi="Helvetica" w:cs="Helvetica"/>
          <w:noProof/>
        </w:rPr>
      </w:pPr>
      <w:r w:rsidRPr="00D72C2B">
        <w:rPr>
          <w:rFonts w:ascii="Helvetica" w:hAnsi="Helvetica" w:cs="Helvetica"/>
          <w:noProof/>
        </w:rPr>
        <w:t>[5]</w:t>
      </w:r>
      <w:r w:rsidRPr="00D72C2B">
        <w:rPr>
          <w:rFonts w:ascii="Helvetica" w:hAnsi="Helvetica" w:cs="Helvetica"/>
          <w:noProof/>
        </w:rPr>
        <w:tab/>
        <w:t>C. Bin Kim, D.W. Janes, S.X. Zhou, A.R. Dulaney, C.J. Ellison, Bidirectional Control of Flow in Thin Polymer Films by Photochemically Manipulating Surface Tension, Chem. Mater. 27 (2015) 4538–4545. https://doi.org/10.1021/acs.chemmater.5b01744.</w:t>
      </w:r>
    </w:p>
    <w:p w14:paraId="1A58BC91" w14:textId="77777777" w:rsidR="00D72C2B" w:rsidRPr="00D72C2B" w:rsidRDefault="00D72C2B" w:rsidP="00D72C2B">
      <w:pPr>
        <w:widowControl w:val="0"/>
        <w:spacing w:line="240" w:lineRule="atLeast"/>
        <w:ind w:left="640" w:hanging="640"/>
        <w:jc w:val="both"/>
        <w:rPr>
          <w:rFonts w:ascii="Helvetica" w:hAnsi="Helvetica" w:cs="Helvetica"/>
          <w:noProof/>
        </w:rPr>
      </w:pPr>
      <w:r w:rsidRPr="00D72C2B">
        <w:rPr>
          <w:rFonts w:ascii="Helvetica" w:hAnsi="Helvetica" w:cs="Helvetica"/>
          <w:noProof/>
        </w:rPr>
        <w:t>[6]</w:t>
      </w:r>
      <w:r w:rsidRPr="00D72C2B">
        <w:rPr>
          <w:rFonts w:ascii="Helvetica" w:hAnsi="Helvetica" w:cs="Helvetica"/>
          <w:noProof/>
        </w:rPr>
        <w:tab/>
        <w:t>A.R. Jones, C. Bin Kim, S.X. Zhou, H. Ha, R. Katsumata, G. Blachut, R.T. Bonnecaze, C.J. Ellison, Generating Large Thermally Stable Marangoni-Driven Topography in Polymer Films by Stabilizing the Surface Energy Gradient, Macromolecules. 50 (2017) 4588–4596. https://doi.org/10.1021/acs.macromol.7b00055.</w:t>
      </w:r>
    </w:p>
    <w:p w14:paraId="5946D56D" w14:textId="77777777" w:rsidR="00D72C2B" w:rsidRPr="00D72C2B" w:rsidRDefault="00D72C2B" w:rsidP="00D72C2B">
      <w:pPr>
        <w:widowControl w:val="0"/>
        <w:spacing w:line="240" w:lineRule="atLeast"/>
        <w:ind w:left="640" w:hanging="640"/>
        <w:jc w:val="both"/>
        <w:rPr>
          <w:rFonts w:ascii="Helvetica" w:hAnsi="Helvetica" w:cs="Helvetica"/>
          <w:noProof/>
        </w:rPr>
      </w:pPr>
      <w:r w:rsidRPr="00D72C2B">
        <w:rPr>
          <w:rFonts w:ascii="Helvetica" w:hAnsi="Helvetica" w:cs="Helvetica"/>
          <w:noProof/>
        </w:rPr>
        <w:t>[7]</w:t>
      </w:r>
      <w:r w:rsidRPr="00D72C2B">
        <w:rPr>
          <w:rFonts w:ascii="Helvetica" w:hAnsi="Helvetica" w:cs="Helvetica"/>
          <w:noProof/>
        </w:rPr>
        <w:tab/>
        <w:t>T.A. Arshad, C. Bin Kim, N.A. Prisco, J.M. Katzenstein, D.W. Janes, R.T. Bonnecaze, C.J. Ellison, Precision Marangoni-driven patterning, Soft Matter. 10 (2014) 8043–8050. https://doi.org/10.1039/c4sm01284d.</w:t>
      </w:r>
    </w:p>
    <w:p w14:paraId="0D768CC5" w14:textId="77777777" w:rsidR="00D72C2B" w:rsidRPr="00D72C2B" w:rsidRDefault="00D72C2B" w:rsidP="00D72C2B">
      <w:pPr>
        <w:widowControl w:val="0"/>
        <w:spacing w:line="240" w:lineRule="atLeast"/>
        <w:ind w:left="640" w:hanging="640"/>
        <w:jc w:val="both"/>
        <w:rPr>
          <w:rFonts w:ascii="Helvetica" w:hAnsi="Helvetica" w:cs="Helvetica"/>
          <w:noProof/>
        </w:rPr>
      </w:pPr>
      <w:r w:rsidRPr="00D72C2B">
        <w:rPr>
          <w:rFonts w:ascii="Helvetica" w:hAnsi="Helvetica" w:cs="Helvetica"/>
          <w:noProof/>
        </w:rPr>
        <w:t>[8]</w:t>
      </w:r>
      <w:r w:rsidRPr="00D72C2B">
        <w:rPr>
          <w:rFonts w:ascii="Helvetica" w:hAnsi="Helvetica" w:cs="Helvetica"/>
          <w:noProof/>
        </w:rPr>
        <w:tab/>
        <w:t>S.K. Stanley, C.J. Ellison, R.T. Bonnecaze, Control of Marangoni-driven patterning by an optimized distribution of surface energy Control of Marangoni-driven patterning by an optimized distribution of surface energy, J. Appl. Phys. 127 (2020) 065304. https://doi.org/10.1063/1.5132360.</w:t>
      </w:r>
    </w:p>
    <w:p w14:paraId="180310B3" w14:textId="77777777" w:rsidR="00D72C2B" w:rsidRPr="00D72C2B" w:rsidRDefault="00D72C2B" w:rsidP="00D72C2B">
      <w:pPr>
        <w:widowControl w:val="0"/>
        <w:spacing w:line="240" w:lineRule="atLeast"/>
        <w:ind w:left="640" w:hanging="640"/>
        <w:jc w:val="both"/>
        <w:rPr>
          <w:rFonts w:ascii="Helvetica" w:hAnsi="Helvetica" w:cs="Helvetica"/>
          <w:noProof/>
        </w:rPr>
      </w:pPr>
      <w:r w:rsidRPr="00D72C2B">
        <w:rPr>
          <w:rFonts w:ascii="Helvetica" w:hAnsi="Helvetica" w:cs="Helvetica"/>
          <w:noProof/>
        </w:rPr>
        <w:t>[9]</w:t>
      </w:r>
      <w:r w:rsidRPr="00D72C2B">
        <w:rPr>
          <w:rFonts w:ascii="Helvetica" w:hAnsi="Helvetica" w:cs="Helvetica"/>
          <w:noProof/>
        </w:rPr>
        <w:tab/>
        <w:t>S.K. Stanley, R.T. Bonnecaze, Fundamental limits of Marangoni-driven patterning, Colloids Surfaces A Physicochem. Eng. Asp. 603 (2020) 125217. https://doi.org/10.1016/j.colsurfa.2020.125217.</w:t>
      </w:r>
    </w:p>
    <w:p w14:paraId="48A4602B" w14:textId="77777777" w:rsidR="00D72C2B" w:rsidRPr="00D72C2B" w:rsidRDefault="00D72C2B" w:rsidP="00D72C2B">
      <w:pPr>
        <w:widowControl w:val="0"/>
        <w:spacing w:line="240" w:lineRule="atLeast"/>
        <w:ind w:left="640" w:hanging="640"/>
        <w:jc w:val="both"/>
        <w:rPr>
          <w:rFonts w:ascii="Helvetica" w:hAnsi="Helvetica" w:cs="Helvetica"/>
          <w:noProof/>
        </w:rPr>
      </w:pPr>
      <w:r w:rsidRPr="00D72C2B">
        <w:rPr>
          <w:rFonts w:ascii="Helvetica" w:hAnsi="Helvetica" w:cs="Helvetica"/>
          <w:noProof/>
        </w:rPr>
        <w:t>[10]</w:t>
      </w:r>
      <w:r w:rsidRPr="00D72C2B">
        <w:rPr>
          <w:rFonts w:ascii="Helvetica" w:hAnsi="Helvetica" w:cs="Helvetica"/>
          <w:noProof/>
        </w:rPr>
        <w:tab/>
        <w:t>J.B. Kim, P. Kim, N.C. Ṕgard, S.J. Oh, C.R. Kagan, J.W. Fleischer, H.A. Stone, Y.L. Loo, Wrinkles and deep folds as photonic structures in photovoltaics, Nat. Photonics. 6 (2012) 327–332. https://doi.org/10.1038/nphoton.2012.70.</w:t>
      </w:r>
    </w:p>
    <w:p w14:paraId="650A33DA" w14:textId="77777777" w:rsidR="00D72C2B" w:rsidRPr="00D72C2B" w:rsidRDefault="00D72C2B" w:rsidP="00D72C2B">
      <w:pPr>
        <w:widowControl w:val="0"/>
        <w:spacing w:line="240" w:lineRule="atLeast"/>
        <w:ind w:left="640" w:hanging="640"/>
        <w:jc w:val="both"/>
        <w:rPr>
          <w:rFonts w:ascii="Helvetica" w:hAnsi="Helvetica" w:cs="Helvetica"/>
          <w:noProof/>
        </w:rPr>
      </w:pPr>
      <w:r w:rsidRPr="00D72C2B">
        <w:rPr>
          <w:rFonts w:ascii="Helvetica" w:hAnsi="Helvetica" w:cs="Helvetica"/>
          <w:noProof/>
        </w:rPr>
        <w:t>[11]</w:t>
      </w:r>
      <w:r w:rsidRPr="00D72C2B">
        <w:rPr>
          <w:rFonts w:ascii="Helvetica" w:hAnsi="Helvetica" w:cs="Helvetica"/>
          <w:noProof/>
        </w:rPr>
        <w:tab/>
        <w:t>C.S. Davis, D. Martina, C. Creton, A. Lindner, A.J. Crosby, Enhanced adhesion of elastic materials to small-scale wrinkles, Langmuir. 28 (2012) 14899–14908. https://doi.org/10.1021/la302314z.</w:t>
      </w:r>
    </w:p>
    <w:p w14:paraId="5374110E" w14:textId="77777777" w:rsidR="00D72C2B" w:rsidRPr="00D72C2B" w:rsidRDefault="00D72C2B" w:rsidP="00D72C2B">
      <w:pPr>
        <w:widowControl w:val="0"/>
        <w:spacing w:line="240" w:lineRule="atLeast"/>
        <w:ind w:left="640" w:hanging="640"/>
        <w:jc w:val="both"/>
        <w:rPr>
          <w:rFonts w:ascii="Helvetica" w:hAnsi="Helvetica" w:cs="Helvetica"/>
          <w:noProof/>
        </w:rPr>
      </w:pPr>
      <w:r w:rsidRPr="00D72C2B">
        <w:rPr>
          <w:rFonts w:ascii="Helvetica" w:hAnsi="Helvetica" w:cs="Helvetica"/>
          <w:noProof/>
        </w:rPr>
        <w:t>[12]</w:t>
      </w:r>
      <w:r w:rsidRPr="00D72C2B">
        <w:rPr>
          <w:rFonts w:ascii="Helvetica" w:hAnsi="Helvetica" w:cs="Helvetica"/>
          <w:noProof/>
        </w:rPr>
        <w:tab/>
        <w:t>J.F. Schumacher, M.L. Carman, T.G. Estes, A.W. Feinberg, L.H. Wilson, M.E. Callow, J.A. Callow, J.A. Finlay, A.B. Brennan, Engineered antifouling microtopographies - Effect of feature size, geometry, and roughness on settlement of zoospores of the green alga Ulva, Biofouling. 23 (2007) 55–62. https://doi.org/10.1080/08927010601136957.</w:t>
      </w:r>
    </w:p>
    <w:p w14:paraId="26BF1E47" w14:textId="77777777" w:rsidR="00D72C2B" w:rsidRPr="00D72C2B" w:rsidRDefault="00D72C2B" w:rsidP="00D72C2B">
      <w:pPr>
        <w:widowControl w:val="0"/>
        <w:spacing w:line="240" w:lineRule="atLeast"/>
        <w:ind w:left="640" w:hanging="640"/>
        <w:jc w:val="both"/>
        <w:rPr>
          <w:rFonts w:ascii="Helvetica" w:hAnsi="Helvetica" w:cs="Helvetica"/>
          <w:noProof/>
        </w:rPr>
      </w:pPr>
      <w:r w:rsidRPr="00D72C2B">
        <w:rPr>
          <w:rFonts w:ascii="Helvetica" w:hAnsi="Helvetica" w:cs="Helvetica"/>
          <w:noProof/>
        </w:rPr>
        <w:t>[13]</w:t>
      </w:r>
      <w:r w:rsidRPr="00D72C2B">
        <w:rPr>
          <w:rFonts w:ascii="Helvetica" w:hAnsi="Helvetica" w:cs="Helvetica"/>
          <w:noProof/>
        </w:rPr>
        <w:tab/>
        <w:t>I.E. Khodasevych, C.M. Shah, S. Sriram, M. Bhaskaran, W. Withayachumnankul, B.S.Y.Y. Ung, H. Lin, W.S.T.T. Rowe, D. Abbott, A. Mitchell, Elastomeric silicone substrates for terahertz fishnet metamaterials, Appl. Phys. Lett. 100 (2012) 61101. https://doi.org/10.1063/1.3665180.</w:t>
      </w:r>
    </w:p>
    <w:p w14:paraId="0CF95B9E" w14:textId="77777777" w:rsidR="00D72C2B" w:rsidRPr="00D72C2B" w:rsidRDefault="00D72C2B" w:rsidP="00D72C2B">
      <w:pPr>
        <w:widowControl w:val="0"/>
        <w:spacing w:line="240" w:lineRule="atLeast"/>
        <w:ind w:left="640" w:hanging="640"/>
        <w:jc w:val="both"/>
        <w:rPr>
          <w:rFonts w:ascii="Helvetica" w:hAnsi="Helvetica" w:cs="Helvetica"/>
          <w:noProof/>
        </w:rPr>
      </w:pPr>
      <w:r w:rsidRPr="00D72C2B">
        <w:rPr>
          <w:rFonts w:ascii="Helvetica" w:hAnsi="Helvetica" w:cs="Helvetica"/>
          <w:noProof/>
        </w:rPr>
        <w:t>[14]</w:t>
      </w:r>
      <w:r w:rsidRPr="00D72C2B">
        <w:rPr>
          <w:rFonts w:ascii="Helvetica" w:hAnsi="Helvetica" w:cs="Helvetica"/>
          <w:noProof/>
        </w:rPr>
        <w:tab/>
        <w:t>H. Tao, N.I. Landy, K. Fan, A.C. Strikwerda, W.J. Padilla, R.D. Averitt, X. Zhang, Flexible terahertz metamaterials: towards a terahertz metamaterial invisible cloak, in: 2008 IEEE Int. Electron Devices Meet., IEEE, 2008. https://doi.org/10.1109/iedm.2008.4796673.</w:t>
      </w:r>
    </w:p>
    <w:p w14:paraId="553C7D5C" w14:textId="77777777" w:rsidR="00D72C2B" w:rsidRPr="00D72C2B" w:rsidRDefault="00D72C2B" w:rsidP="00D72C2B">
      <w:pPr>
        <w:widowControl w:val="0"/>
        <w:spacing w:line="240" w:lineRule="atLeast"/>
        <w:ind w:left="640" w:hanging="640"/>
        <w:jc w:val="both"/>
        <w:rPr>
          <w:rFonts w:ascii="Helvetica" w:hAnsi="Helvetica" w:cs="Helvetica"/>
          <w:noProof/>
        </w:rPr>
      </w:pPr>
      <w:r w:rsidRPr="00D72C2B">
        <w:rPr>
          <w:rFonts w:ascii="Helvetica" w:hAnsi="Helvetica" w:cs="Helvetica"/>
          <w:noProof/>
        </w:rPr>
        <w:t>[15]</w:t>
      </w:r>
      <w:r w:rsidRPr="00D72C2B">
        <w:rPr>
          <w:rFonts w:ascii="Helvetica" w:hAnsi="Helvetica" w:cs="Helvetica"/>
          <w:noProof/>
        </w:rPr>
        <w:tab/>
        <w:t>K. Fan, X. Zhao, J. Zhang, K. Geng, G.R. Keiser, H.R. Seren, G.D. Metcalfe, M. Wraback, X. Zhang, R.D. Averitt, Optically Tunable Terahertz Metamaterials on Highly Flexible Substrates, IEEE Trans. Terahertz Sci. Technol. 3 (2013) 702–708. https://doi.org/10.1109/tthz.2013.2285619.</w:t>
      </w:r>
    </w:p>
    <w:p w14:paraId="0CA21EC6" w14:textId="77777777" w:rsidR="00D72C2B" w:rsidRPr="00D72C2B" w:rsidRDefault="00D72C2B" w:rsidP="00D72C2B">
      <w:pPr>
        <w:widowControl w:val="0"/>
        <w:spacing w:line="240" w:lineRule="atLeast"/>
        <w:ind w:left="640" w:hanging="640"/>
        <w:jc w:val="both"/>
        <w:rPr>
          <w:rFonts w:ascii="Helvetica" w:hAnsi="Helvetica" w:cs="Helvetica"/>
          <w:noProof/>
        </w:rPr>
      </w:pPr>
      <w:r w:rsidRPr="00D72C2B">
        <w:rPr>
          <w:rFonts w:ascii="Helvetica" w:hAnsi="Helvetica" w:cs="Helvetica"/>
          <w:noProof/>
        </w:rPr>
        <w:t>[16]</w:t>
      </w:r>
      <w:r w:rsidRPr="00D72C2B">
        <w:rPr>
          <w:rFonts w:ascii="Helvetica" w:hAnsi="Helvetica" w:cs="Helvetica"/>
          <w:noProof/>
        </w:rPr>
        <w:tab/>
        <w:t>R. Menon, A. Patel, D. Gil, H.I. Smith, Maskless lithography, Mater. Today. 8 (2005) 26–33. https://doi.org/10.1016/s1369-7021(05)00699-1.</w:t>
      </w:r>
    </w:p>
    <w:p w14:paraId="3F0ACF79" w14:textId="53CEDA4E" w:rsidR="00D72C2B" w:rsidRPr="00D72C2B" w:rsidRDefault="00D72C2B" w:rsidP="00D72C2B">
      <w:pPr>
        <w:widowControl w:val="0"/>
        <w:spacing w:line="240" w:lineRule="atLeast"/>
        <w:ind w:left="640" w:hanging="640"/>
        <w:jc w:val="both"/>
        <w:rPr>
          <w:rFonts w:ascii="Helvetica" w:hAnsi="Helvetica" w:cs="Helvetica"/>
          <w:noProof/>
        </w:rPr>
      </w:pPr>
    </w:p>
    <w:p w14:paraId="06FE7E7C" w14:textId="1CC632FF" w:rsidR="00A06245" w:rsidRPr="00FD64F2" w:rsidRDefault="00D72C2B" w:rsidP="00D72C2B">
      <w:pPr>
        <w:jc w:val="both"/>
        <w:rPr>
          <w:rFonts w:ascii="Helvetica" w:hAnsi="Helvetica" w:cs="Helvetica"/>
          <w:sz w:val="22"/>
        </w:rPr>
      </w:pPr>
      <w:r w:rsidRPr="00D72C2B">
        <w:rPr>
          <w:rFonts w:ascii="Helvetica" w:hAnsi="Helvetica" w:cs="Helvetica"/>
        </w:rPr>
        <w:fldChar w:fldCharType="end"/>
      </w:r>
    </w:p>
    <w:p w14:paraId="698B8E08" w14:textId="77777777" w:rsidR="00A850F7" w:rsidRDefault="00A850F7">
      <w:pPr>
        <w:pStyle w:val="BodyText2"/>
        <w:spacing w:line="480" w:lineRule="auto"/>
        <w:rPr>
          <w:b/>
          <w:u w:val="single"/>
        </w:rPr>
      </w:pPr>
    </w:p>
    <w:sectPr w:rsidR="00A850F7">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9C947" w14:textId="77777777" w:rsidR="0016090C" w:rsidRDefault="0016090C" w:rsidP="002C49C1">
      <w:r>
        <w:separator/>
      </w:r>
    </w:p>
  </w:endnote>
  <w:endnote w:type="continuationSeparator" w:id="0">
    <w:p w14:paraId="44BC2609" w14:textId="77777777" w:rsidR="0016090C" w:rsidRDefault="0016090C" w:rsidP="002C4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9AA41" w14:textId="77777777" w:rsidR="0016090C" w:rsidRDefault="0016090C" w:rsidP="002C49C1">
      <w:r>
        <w:separator/>
      </w:r>
    </w:p>
  </w:footnote>
  <w:footnote w:type="continuationSeparator" w:id="0">
    <w:p w14:paraId="38EB3E27" w14:textId="77777777" w:rsidR="0016090C" w:rsidRDefault="0016090C" w:rsidP="002C4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952033"/>
    <w:multiLevelType w:val="singleLevel"/>
    <w:tmpl w:val="16D8D10C"/>
    <w:lvl w:ilvl="0">
      <w:start w:val="1"/>
      <w:numFmt w:val="decimal"/>
      <w:lvlText w:val="%1)"/>
      <w:lvlJc w:val="left"/>
      <w:pPr>
        <w:tabs>
          <w:tab w:val="num" w:pos="1080"/>
        </w:tabs>
        <w:ind w:left="108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0F7"/>
    <w:rsid w:val="000657DA"/>
    <w:rsid w:val="000D33F2"/>
    <w:rsid w:val="00101077"/>
    <w:rsid w:val="0016090C"/>
    <w:rsid w:val="00227786"/>
    <w:rsid w:val="002C49C1"/>
    <w:rsid w:val="003B3406"/>
    <w:rsid w:val="005121C8"/>
    <w:rsid w:val="005562F6"/>
    <w:rsid w:val="00693E6F"/>
    <w:rsid w:val="007120EE"/>
    <w:rsid w:val="007D1AA9"/>
    <w:rsid w:val="008E17C2"/>
    <w:rsid w:val="009A13D7"/>
    <w:rsid w:val="00A06245"/>
    <w:rsid w:val="00A850F7"/>
    <w:rsid w:val="00AC1523"/>
    <w:rsid w:val="00AE1B86"/>
    <w:rsid w:val="00AE64A6"/>
    <w:rsid w:val="00BB0EFA"/>
    <w:rsid w:val="00BB25C6"/>
    <w:rsid w:val="00D70D32"/>
    <w:rsid w:val="00D72C2B"/>
    <w:rsid w:val="00DB3F6E"/>
    <w:rsid w:val="00E06A34"/>
    <w:rsid w:val="00E83579"/>
    <w:rsid w:val="00F04D57"/>
    <w:rsid w:val="00FD6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7C3CA1"/>
  <w15:docId w15:val="{39C24453-8D73-4A7C-97A9-8DECA2925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7">
    <w:name w:val="heading 7"/>
    <w:basedOn w:val="Normal"/>
    <w:next w:val="Normal"/>
    <w:link w:val="Heading7Char"/>
    <w:uiPriority w:val="9"/>
    <w:semiHidden/>
    <w:unhideWhenUsed/>
    <w:qFormat/>
    <w:rsid w:val="007D1AA9"/>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aliases w:val="h8"/>
    <w:basedOn w:val="Heading7"/>
    <w:next w:val="Normal"/>
    <w:link w:val="Heading8Char"/>
    <w:qFormat/>
    <w:rsid w:val="007D1AA9"/>
    <w:pPr>
      <w:keepNext w:val="0"/>
      <w:tabs>
        <w:tab w:val="left" w:pos="1260"/>
      </w:tabs>
      <w:overflowPunct w:val="0"/>
      <w:autoSpaceDE w:val="0"/>
      <w:autoSpaceDN w:val="0"/>
      <w:adjustRightInd w:val="0"/>
      <w:spacing w:before="360" w:after="240"/>
      <w:ind w:left="1260" w:hanging="1260"/>
      <w:textAlignment w:val="baseline"/>
      <w:outlineLvl w:val="7"/>
    </w:pPr>
    <w:rPr>
      <w:rFonts w:ascii="Times New Roman" w:eastAsia="Times New Roman" w:hAnsi="Times New Roman" w:cs="Times New Roman"/>
      <w:i w:val="0"/>
      <w:iCs w:val="0"/>
      <w:color w:val="aut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rFonts w:ascii="Helvetica" w:hAnsi="Helvetica"/>
    </w:rPr>
  </w:style>
  <w:style w:type="paragraph" w:styleId="BodyText2">
    <w:name w:val="Body Text 2"/>
    <w:basedOn w:val="Normal"/>
    <w:semiHidden/>
    <w:pPr>
      <w:spacing w:line="240" w:lineRule="atLeast"/>
    </w:pPr>
    <w:rPr>
      <w:rFonts w:ascii="Helvetica" w:hAnsi="Helvetica"/>
      <w:snapToGrid w:val="0"/>
      <w:color w:val="000000"/>
    </w:rPr>
  </w:style>
  <w:style w:type="paragraph" w:customStyle="1" w:styleId="TimesNR-12-SS-Justified">
    <w:name w:val="TimesNR-12-SS-Justified"/>
    <w:basedOn w:val="Normal"/>
    <w:next w:val="Normal"/>
    <w:qFormat/>
    <w:rsid w:val="007120EE"/>
    <w:pPr>
      <w:jc w:val="both"/>
    </w:pPr>
    <w:rPr>
      <w:rFonts w:eastAsiaTheme="minorHAnsi"/>
      <w:snapToGrid w:val="0"/>
      <w:color w:val="000000" w:themeColor="text1"/>
      <w:sz w:val="24"/>
      <w:szCs w:val="24"/>
    </w:rPr>
  </w:style>
  <w:style w:type="character" w:customStyle="1" w:styleId="Heading8Char">
    <w:name w:val="Heading 8 Char"/>
    <w:basedOn w:val="DefaultParagraphFont"/>
    <w:link w:val="Heading8"/>
    <w:rsid w:val="007D1AA9"/>
    <w:rPr>
      <w:sz w:val="24"/>
    </w:rPr>
  </w:style>
  <w:style w:type="character" w:customStyle="1" w:styleId="Heading7Char">
    <w:name w:val="Heading 7 Char"/>
    <w:basedOn w:val="DefaultParagraphFont"/>
    <w:link w:val="Heading7"/>
    <w:uiPriority w:val="9"/>
    <w:semiHidden/>
    <w:rsid w:val="007D1AA9"/>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io\AppData\Local\Microsoft\Windows\Temporary%20Internet%20Files\Content.Outlook\52ND9ECJ\extended%20abstrac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extended abstract</Template>
  <TotalTime>40</TotalTime>
  <Pages>6</Pages>
  <Words>7196</Words>
  <Characters>41020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Pressurized Gravure Coating</vt:lpstr>
    </vt:vector>
  </TitlesOfParts>
  <Company>Dupont</Company>
  <LinksUpToDate>false</LinksUpToDate>
  <CharactersWithSpaces>48120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Pressurized Gravure Coating</dc:title>
  <dc:subject/>
  <dc:creator>Marcio</dc:creator>
  <cp:keywords/>
  <dc:description/>
  <cp:lastModifiedBy>Bonnecaze, Roger T</cp:lastModifiedBy>
  <cp:revision>12</cp:revision>
  <cp:lastPrinted>2002-09-19T14:07:00Z</cp:lastPrinted>
  <dcterms:created xsi:type="dcterms:W3CDTF">2020-07-20T16:16:00Z</dcterms:created>
  <dcterms:modified xsi:type="dcterms:W3CDTF">2020-07-20T19:20:00Z</dcterms:modified>
</cp:coreProperties>
</file>