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A4A8" w14:textId="77777777" w:rsidR="00E70B96" w:rsidRPr="00E70B96" w:rsidRDefault="00E70B96" w:rsidP="00E70B96">
      <w:pPr>
        <w:rPr>
          <w:rFonts w:ascii="Helvetica" w:hAnsi="Helvetica"/>
          <w:b/>
          <w:bCs/>
          <w:sz w:val="28"/>
          <w:szCs w:val="28"/>
        </w:rPr>
      </w:pPr>
      <w:r>
        <w:rPr>
          <w:rFonts w:ascii="Helvetica" w:hAnsi="Helvetica"/>
          <w:b/>
          <w:sz w:val="28"/>
          <w:szCs w:val="28"/>
        </w:rPr>
        <w:t xml:space="preserve">Influence of Coating Method on </w:t>
      </w:r>
      <w:r w:rsidRPr="00E70B96">
        <w:rPr>
          <w:rFonts w:ascii="Helvetica" w:hAnsi="Helvetica"/>
          <w:b/>
          <w:bCs/>
          <w:sz w:val="28"/>
          <w:szCs w:val="28"/>
        </w:rPr>
        <w:t>Performance of Roll-to-roll Coated PEM Fuel Cell Catalyst Layers</w:t>
      </w:r>
    </w:p>
    <w:p w14:paraId="174F8F30" w14:textId="11127DBA" w:rsidR="008E17C2" w:rsidRDefault="008E17C2">
      <w:pPr>
        <w:jc w:val="center"/>
        <w:rPr>
          <w:rFonts w:ascii="Helvetica" w:hAnsi="Helvetica"/>
          <w:b/>
          <w:sz w:val="28"/>
          <w:szCs w:val="28"/>
        </w:rPr>
      </w:pPr>
    </w:p>
    <w:p w14:paraId="6234ECBE" w14:textId="77777777" w:rsidR="00A850F7" w:rsidRPr="00E70B96" w:rsidRDefault="00A850F7">
      <w:pPr>
        <w:jc w:val="center"/>
        <w:rPr>
          <w:rFonts w:ascii="Helvetica" w:hAnsi="Helvetica"/>
          <w:b/>
          <w:sz w:val="24"/>
          <w:szCs w:val="24"/>
        </w:rPr>
      </w:pPr>
    </w:p>
    <w:p w14:paraId="15EFEF9D" w14:textId="3E8F4576" w:rsidR="00E70B96" w:rsidRPr="000C6139" w:rsidRDefault="00E70B96" w:rsidP="000C6139">
      <w:pPr>
        <w:rPr>
          <w:rFonts w:ascii="Helvetica" w:hAnsi="Helvetica"/>
          <w:b/>
          <w:bCs/>
          <w:sz w:val="24"/>
          <w:szCs w:val="24"/>
          <w:vertAlign w:val="superscript"/>
        </w:rPr>
      </w:pPr>
      <w:r w:rsidRPr="000C6139">
        <w:rPr>
          <w:rFonts w:ascii="Helvetica" w:hAnsi="Helvetica"/>
          <w:b/>
          <w:bCs/>
          <w:sz w:val="24"/>
          <w:szCs w:val="24"/>
        </w:rPr>
        <w:t>Scott A. Mauger</w:t>
      </w:r>
      <w:r w:rsidRPr="000C6139">
        <w:rPr>
          <w:rFonts w:ascii="Helvetica" w:hAnsi="Helvetica"/>
          <w:b/>
          <w:bCs/>
          <w:sz w:val="24"/>
          <w:szCs w:val="24"/>
          <w:vertAlign w:val="superscript"/>
        </w:rPr>
        <w:t>1</w:t>
      </w:r>
      <w:r w:rsidRPr="000C6139">
        <w:rPr>
          <w:rFonts w:ascii="Helvetica" w:hAnsi="Helvetica"/>
          <w:b/>
          <w:bCs/>
          <w:sz w:val="24"/>
          <w:szCs w:val="24"/>
        </w:rPr>
        <w:t>, Min Wang</w:t>
      </w:r>
      <w:r w:rsidRPr="000C6139">
        <w:rPr>
          <w:rFonts w:ascii="Helvetica" w:hAnsi="Helvetica"/>
          <w:b/>
          <w:bCs/>
          <w:sz w:val="24"/>
          <w:szCs w:val="24"/>
          <w:vertAlign w:val="superscript"/>
        </w:rPr>
        <w:t>1</w:t>
      </w:r>
      <w:r w:rsidRPr="000C6139">
        <w:rPr>
          <w:rFonts w:ascii="Helvetica" w:hAnsi="Helvetica"/>
          <w:b/>
          <w:bCs/>
          <w:sz w:val="24"/>
          <w:szCs w:val="24"/>
        </w:rPr>
        <w:t>, Samantha Medina</w:t>
      </w:r>
      <w:r w:rsidRPr="000C6139">
        <w:rPr>
          <w:rFonts w:ascii="Helvetica" w:hAnsi="Helvetica"/>
          <w:b/>
          <w:bCs/>
          <w:sz w:val="24"/>
          <w:szCs w:val="24"/>
          <w:vertAlign w:val="superscript"/>
        </w:rPr>
        <w:t>2</w:t>
      </w:r>
      <w:r w:rsidRPr="000C6139">
        <w:rPr>
          <w:rFonts w:ascii="Helvetica" w:hAnsi="Helvetica"/>
          <w:b/>
          <w:bCs/>
          <w:sz w:val="24"/>
          <w:szCs w:val="24"/>
        </w:rPr>
        <w:t>,</w:t>
      </w:r>
      <w:r w:rsidR="000C6139" w:rsidRPr="000C6139">
        <w:rPr>
          <w:rFonts w:ascii="Helvetica" w:hAnsi="Helvetica"/>
          <w:b/>
          <w:bCs/>
          <w:sz w:val="24"/>
          <w:szCs w:val="24"/>
        </w:rPr>
        <w:t xml:space="preserve"> Timothy Van Cleve</w:t>
      </w:r>
      <w:r w:rsidR="000C6139" w:rsidRPr="000C6139">
        <w:rPr>
          <w:rFonts w:ascii="Helvetica" w:hAnsi="Helvetica"/>
          <w:b/>
          <w:bCs/>
          <w:sz w:val="24"/>
          <w:szCs w:val="24"/>
          <w:vertAlign w:val="superscript"/>
        </w:rPr>
        <w:t>1</w:t>
      </w:r>
      <w:r w:rsidR="000C6139" w:rsidRPr="000C6139">
        <w:rPr>
          <w:rFonts w:ascii="Helvetica" w:hAnsi="Helvetica"/>
          <w:b/>
          <w:bCs/>
          <w:sz w:val="24"/>
          <w:szCs w:val="24"/>
        </w:rPr>
        <w:t>, K.C. Neyerlin</w:t>
      </w:r>
      <w:r w:rsidR="000C6139" w:rsidRPr="000C6139">
        <w:rPr>
          <w:rFonts w:ascii="Helvetica" w:hAnsi="Helvetica"/>
          <w:b/>
          <w:bCs/>
          <w:sz w:val="24"/>
          <w:szCs w:val="24"/>
          <w:vertAlign w:val="superscript"/>
        </w:rPr>
        <w:t>1</w:t>
      </w:r>
      <w:r w:rsidR="000C6139" w:rsidRPr="000C6139">
        <w:rPr>
          <w:rFonts w:ascii="Helvetica" w:hAnsi="Helvetica"/>
          <w:b/>
          <w:bCs/>
          <w:sz w:val="24"/>
          <w:szCs w:val="24"/>
        </w:rPr>
        <w:t>,</w:t>
      </w:r>
      <w:r w:rsidRPr="000C6139">
        <w:rPr>
          <w:rFonts w:ascii="Helvetica" w:hAnsi="Helvetica"/>
          <w:b/>
          <w:bCs/>
          <w:sz w:val="24"/>
          <w:szCs w:val="24"/>
        </w:rPr>
        <w:t xml:space="preserve"> </w:t>
      </w:r>
      <w:proofErr w:type="spellStart"/>
      <w:r w:rsidRPr="000C6139">
        <w:rPr>
          <w:rFonts w:ascii="Helvetica" w:hAnsi="Helvetica"/>
          <w:b/>
          <w:bCs/>
          <w:sz w:val="24"/>
          <w:szCs w:val="24"/>
        </w:rPr>
        <w:t>Svitlana</w:t>
      </w:r>
      <w:proofErr w:type="spellEnd"/>
      <w:r w:rsidRPr="000C6139">
        <w:rPr>
          <w:rFonts w:ascii="Helvetica" w:hAnsi="Helvetica"/>
          <w:b/>
          <w:bCs/>
          <w:sz w:val="24"/>
          <w:szCs w:val="24"/>
        </w:rPr>
        <w:t xml:space="preserve"> Pylypenko</w:t>
      </w:r>
      <w:r w:rsidRPr="000C6139">
        <w:rPr>
          <w:rFonts w:ascii="Helvetica" w:hAnsi="Helvetica"/>
          <w:b/>
          <w:bCs/>
          <w:sz w:val="24"/>
          <w:szCs w:val="24"/>
          <w:vertAlign w:val="superscript"/>
        </w:rPr>
        <w:t>2</w:t>
      </w:r>
      <w:r w:rsidRPr="000C6139">
        <w:rPr>
          <w:rFonts w:ascii="Helvetica" w:hAnsi="Helvetica"/>
          <w:b/>
          <w:bCs/>
          <w:sz w:val="24"/>
          <w:szCs w:val="24"/>
        </w:rPr>
        <w:t>, Michael Ulsh</w:t>
      </w:r>
      <w:r w:rsidRPr="000C6139">
        <w:rPr>
          <w:rFonts w:ascii="Helvetica" w:hAnsi="Helvetica"/>
          <w:b/>
          <w:bCs/>
          <w:sz w:val="24"/>
          <w:szCs w:val="24"/>
          <w:vertAlign w:val="superscript"/>
        </w:rPr>
        <w:t>1</w:t>
      </w:r>
    </w:p>
    <w:p w14:paraId="30C82351" w14:textId="77777777" w:rsidR="00E70B96" w:rsidRPr="000C6139" w:rsidRDefault="00E70B96" w:rsidP="00E70B96">
      <w:pPr>
        <w:rPr>
          <w:rFonts w:ascii="Helvetica" w:hAnsi="Helvetica"/>
          <w:b/>
          <w:bCs/>
          <w:sz w:val="24"/>
          <w:szCs w:val="24"/>
          <w:vertAlign w:val="superscript"/>
        </w:rPr>
      </w:pPr>
    </w:p>
    <w:p w14:paraId="08FFA6A2" w14:textId="77777777" w:rsidR="00E70B96" w:rsidRPr="000C6139" w:rsidRDefault="00E70B96" w:rsidP="00E70B96">
      <w:pPr>
        <w:pStyle w:val="ListParagraph"/>
        <w:numPr>
          <w:ilvl w:val="0"/>
          <w:numId w:val="2"/>
        </w:numPr>
        <w:rPr>
          <w:rFonts w:ascii="Helvetica" w:hAnsi="Helvetica"/>
          <w:b/>
          <w:bCs/>
        </w:rPr>
      </w:pPr>
      <w:r w:rsidRPr="000C6139">
        <w:rPr>
          <w:rFonts w:ascii="Helvetica" w:hAnsi="Helvetica"/>
          <w:b/>
          <w:bCs/>
        </w:rPr>
        <w:t>Chemistry and Nanoscience Center, National Renewable Energy Laboratory, Golden, CO 80401</w:t>
      </w:r>
    </w:p>
    <w:p w14:paraId="52A83DE9" w14:textId="77777777" w:rsidR="00E70B96" w:rsidRPr="000C6139" w:rsidRDefault="00E70B96" w:rsidP="00E70B96">
      <w:pPr>
        <w:pStyle w:val="ListParagraph"/>
        <w:numPr>
          <w:ilvl w:val="0"/>
          <w:numId w:val="2"/>
        </w:numPr>
        <w:rPr>
          <w:rFonts w:ascii="Helvetica" w:hAnsi="Helvetica"/>
          <w:b/>
          <w:bCs/>
        </w:rPr>
      </w:pPr>
      <w:r w:rsidRPr="000C6139">
        <w:rPr>
          <w:rFonts w:ascii="Helvetica" w:hAnsi="Helvetica"/>
          <w:b/>
          <w:bCs/>
        </w:rPr>
        <w:t>Department of Chemistry, Colorado School of Mines, Golden, CO 80401</w:t>
      </w:r>
    </w:p>
    <w:p w14:paraId="0CA15B8B" w14:textId="77777777" w:rsidR="00A850F7" w:rsidRPr="00A850F7" w:rsidRDefault="00A850F7">
      <w:pPr>
        <w:jc w:val="center"/>
        <w:rPr>
          <w:rFonts w:ascii="Helvetica" w:hAnsi="Helvetica"/>
          <w:b/>
          <w:sz w:val="28"/>
          <w:szCs w:val="28"/>
        </w:rPr>
      </w:pPr>
    </w:p>
    <w:p w14:paraId="25419B52" w14:textId="4CC7CBEF" w:rsidR="008E17C2" w:rsidRDefault="00A850F7">
      <w:pPr>
        <w:jc w:val="center"/>
        <w:rPr>
          <w:rFonts w:ascii="Helvetica" w:hAnsi="Helvetica"/>
        </w:rPr>
      </w:pPr>
      <w:r>
        <w:rPr>
          <w:rFonts w:ascii="Helvetica" w:hAnsi="Helvetica"/>
        </w:rPr>
        <w:t xml:space="preserve">Presented at the </w:t>
      </w:r>
      <w:r w:rsidR="005562F6">
        <w:rPr>
          <w:rFonts w:ascii="Helvetica" w:hAnsi="Helvetica"/>
        </w:rPr>
        <w:t>20</w:t>
      </w:r>
      <w:r>
        <w:rPr>
          <w:rFonts w:ascii="Helvetica" w:hAnsi="Helvetica"/>
          <w:vertAlign w:val="superscript"/>
        </w:rPr>
        <w:t>th</w:t>
      </w:r>
      <w:r>
        <w:rPr>
          <w:rFonts w:ascii="Helvetica" w:hAnsi="Helvetica"/>
        </w:rPr>
        <w:t xml:space="preserve"> International Coating Science and Technology Symposium</w:t>
      </w:r>
    </w:p>
    <w:p w14:paraId="60F058A0" w14:textId="2ED563BA" w:rsidR="008E17C2" w:rsidRDefault="00A850F7">
      <w:pPr>
        <w:jc w:val="center"/>
        <w:rPr>
          <w:rFonts w:ascii="Helvetica" w:hAnsi="Helvetica"/>
        </w:rPr>
      </w:pPr>
      <w:r>
        <w:rPr>
          <w:rFonts w:ascii="Helvetica" w:hAnsi="Helvetica"/>
        </w:rPr>
        <w:t xml:space="preserve">September </w:t>
      </w:r>
      <w:r w:rsidR="00D70D32">
        <w:rPr>
          <w:rFonts w:ascii="Helvetica" w:hAnsi="Helvetica"/>
        </w:rPr>
        <w:t>20</w:t>
      </w:r>
      <w:r>
        <w:rPr>
          <w:rFonts w:ascii="Helvetica" w:hAnsi="Helvetica"/>
        </w:rPr>
        <w:t>-</w:t>
      </w:r>
      <w:r w:rsidR="00D70D32">
        <w:rPr>
          <w:rFonts w:ascii="Helvetica" w:hAnsi="Helvetica"/>
        </w:rPr>
        <w:t>23</w:t>
      </w:r>
      <w:r>
        <w:rPr>
          <w:rFonts w:ascii="Helvetica" w:hAnsi="Helvetica"/>
        </w:rPr>
        <w:t>, 20</w:t>
      </w:r>
      <w:r w:rsidR="00D70D32">
        <w:rPr>
          <w:rFonts w:ascii="Helvetica" w:hAnsi="Helvetica"/>
        </w:rPr>
        <w:t>20</w:t>
      </w:r>
    </w:p>
    <w:p w14:paraId="7F84E908" w14:textId="7973EDA0" w:rsidR="008E17C2" w:rsidRDefault="005121C8">
      <w:pPr>
        <w:jc w:val="center"/>
        <w:rPr>
          <w:rFonts w:ascii="Helvetica" w:hAnsi="Helvetica"/>
        </w:rPr>
      </w:pPr>
      <w:r>
        <w:rPr>
          <w:rFonts w:ascii="Helvetica" w:hAnsi="Helvetica"/>
        </w:rPr>
        <w:t>Minneapolis</w:t>
      </w:r>
      <w:r w:rsidR="00A850F7">
        <w:rPr>
          <w:rFonts w:ascii="Helvetica" w:hAnsi="Helvetica"/>
        </w:rPr>
        <w:t xml:space="preserve">, </w:t>
      </w:r>
      <w:r>
        <w:rPr>
          <w:rFonts w:ascii="Helvetica" w:hAnsi="Helvetica"/>
        </w:rPr>
        <w:t>MN</w:t>
      </w:r>
      <w:r w:rsidR="00A850F7">
        <w:rPr>
          <w:rFonts w:ascii="Helvetica" w:hAnsi="Helvetica"/>
        </w:rPr>
        <w:t>, USA</w:t>
      </w:r>
    </w:p>
    <w:p w14:paraId="28ECE23A" w14:textId="77777777" w:rsidR="008E17C2" w:rsidRDefault="008E17C2">
      <w:pPr>
        <w:jc w:val="center"/>
        <w:rPr>
          <w:rFonts w:ascii="Helvetica" w:hAnsi="Helvetica"/>
        </w:rPr>
      </w:pPr>
    </w:p>
    <w:p w14:paraId="22AF8A89" w14:textId="77777777" w:rsidR="008E17C2" w:rsidRDefault="00A850F7">
      <w:pPr>
        <w:pStyle w:val="BodyText"/>
        <w:rPr>
          <w:rFonts w:ascii="Helvetica-Narrow" w:hAnsi="Helvetica-Narrow"/>
        </w:rPr>
      </w:pPr>
      <w:r>
        <w:rPr>
          <w:rFonts w:ascii="Helvetica-Narrow" w:hAnsi="Helvetica-Narrow"/>
        </w:rPr>
        <w:t>ISCST shall not be responsible for statements or opinions contained in papers or printed in its publications.</w:t>
      </w:r>
    </w:p>
    <w:p w14:paraId="43627DD7" w14:textId="77777777" w:rsidR="008E17C2" w:rsidRDefault="008E17C2">
      <w:pPr>
        <w:pStyle w:val="BodyText"/>
      </w:pPr>
    </w:p>
    <w:p w14:paraId="374C6A2A" w14:textId="77777777" w:rsidR="005121C8" w:rsidRDefault="005121C8">
      <w:pPr>
        <w:pStyle w:val="BodyText2"/>
        <w:spacing w:line="480" w:lineRule="auto"/>
        <w:rPr>
          <w:b/>
          <w:u w:val="single"/>
        </w:rPr>
      </w:pPr>
    </w:p>
    <w:p w14:paraId="3482734E" w14:textId="40209D1B" w:rsidR="008E17C2" w:rsidRDefault="00A850F7">
      <w:pPr>
        <w:pStyle w:val="BodyText2"/>
        <w:spacing w:line="480" w:lineRule="auto"/>
        <w:rPr>
          <w:b/>
        </w:rPr>
      </w:pPr>
      <w:r>
        <w:rPr>
          <w:b/>
          <w:u w:val="single"/>
        </w:rPr>
        <w:t>Extended Abstract</w:t>
      </w:r>
      <w:r w:rsidR="00E70B96">
        <w:rPr>
          <w:b/>
        </w:rPr>
        <w:t>:</w:t>
      </w:r>
    </w:p>
    <w:p w14:paraId="2726A296" w14:textId="1E5BBA97" w:rsidR="00E70B96" w:rsidRDefault="00E70B96" w:rsidP="00E70B96">
      <w:pPr>
        <w:rPr>
          <w:rFonts w:ascii="Helvetica" w:hAnsi="Helvetica"/>
        </w:rPr>
      </w:pPr>
      <w:r w:rsidRPr="00E70B96">
        <w:rPr>
          <w:rFonts w:ascii="Helvetica" w:hAnsi="Helvetica"/>
        </w:rPr>
        <w:t xml:space="preserve">As production of fuel cell vehicles and power systems increases there is a need to understand the process science of fuel cell manufacturing. Industrial production of polymer electrolyte membrane fuel cell (PEMFC) electrodes will rely on continuous roll-to-roll (R2R) coating methods to meet the rates needed for mass production. There are a variety of coating methods that could be used to coat catalyst layers. The different physics of each method may result in different </w:t>
      </w:r>
      <w:r>
        <w:rPr>
          <w:rFonts w:ascii="Helvetica" w:hAnsi="Helvetica"/>
        </w:rPr>
        <w:t xml:space="preserve">catalyst layer </w:t>
      </w:r>
      <w:r w:rsidRPr="00E70B96">
        <w:rPr>
          <w:rFonts w:ascii="Helvetica" w:hAnsi="Helvetica"/>
        </w:rPr>
        <w:t xml:space="preserve">morphologies and performance. Here we present the results of a study comparing </w:t>
      </w:r>
      <w:r>
        <w:rPr>
          <w:rFonts w:ascii="Helvetica" w:hAnsi="Helvetica"/>
        </w:rPr>
        <w:t xml:space="preserve">proton exchange membrane </w:t>
      </w:r>
      <w:r w:rsidRPr="00E70B96">
        <w:rPr>
          <w:rFonts w:ascii="Helvetica" w:hAnsi="Helvetica"/>
        </w:rPr>
        <w:t>fuel cell catalyst layers coated using two R2R coating methods: slot-die and gravure. These two methods were selected because the physics of applying the liquid to the substrate is very different between the two cases.</w:t>
      </w:r>
      <w:r>
        <w:rPr>
          <w:rFonts w:ascii="Helvetica" w:hAnsi="Helvetica"/>
        </w:rPr>
        <w:t xml:space="preserve"> For catalyst inks this is found to be impactful because of the agglomerated nature of the catalyst particles in the ink. </w:t>
      </w:r>
    </w:p>
    <w:p w14:paraId="52095615" w14:textId="77777777" w:rsidR="00E70B96" w:rsidRDefault="00E70B96" w:rsidP="00E70B96">
      <w:pPr>
        <w:rPr>
          <w:rFonts w:ascii="Helvetica" w:hAnsi="Helvetica"/>
        </w:rPr>
      </w:pPr>
    </w:p>
    <w:p w14:paraId="1CC20875" w14:textId="77777777" w:rsidR="000C6139" w:rsidRDefault="00E70B96" w:rsidP="00E70B96">
      <w:pPr>
        <w:rPr>
          <w:rFonts w:ascii="Helvetica" w:hAnsi="Helvetica"/>
        </w:rPr>
      </w:pPr>
      <w:r>
        <w:rPr>
          <w:rFonts w:ascii="Helvetica" w:hAnsi="Helvetica"/>
        </w:rPr>
        <w:t xml:space="preserve">For these experiments, </w:t>
      </w:r>
      <w:r w:rsidRPr="00E70B96">
        <w:rPr>
          <w:rFonts w:ascii="Helvetica" w:hAnsi="Helvetica"/>
        </w:rPr>
        <w:t xml:space="preserve">Pt/C catalysts layers were coated directly onto carbon-fiber gas diffusion media to create gas diffusion electrodes (GDEs), without the use of a decal transfer process. These GDEs were assembled into membrane electrode assemblies (MEAs) by hot pressing to </w:t>
      </w:r>
      <w:proofErr w:type="spellStart"/>
      <w:r w:rsidRPr="00E70B96">
        <w:rPr>
          <w:rFonts w:ascii="Helvetica" w:hAnsi="Helvetica"/>
        </w:rPr>
        <w:t>Nafion</w:t>
      </w:r>
      <w:proofErr w:type="spellEnd"/>
      <w:r w:rsidRPr="00E70B96">
        <w:rPr>
          <w:rFonts w:ascii="Helvetica" w:hAnsi="Helvetica"/>
        </w:rPr>
        <w:t xml:space="preserve"> membranes.</w:t>
      </w:r>
      <w:r w:rsidR="000C6139">
        <w:rPr>
          <w:rFonts w:ascii="Helvetica" w:hAnsi="Helvetica"/>
        </w:rPr>
        <w:t xml:space="preserve"> </w:t>
      </w:r>
      <w:r w:rsidR="000C6139" w:rsidRPr="00E70B96">
        <w:rPr>
          <w:rFonts w:ascii="Helvetica" w:hAnsi="Helvetica"/>
        </w:rPr>
        <w:t>Electron microscopy was utilized to understand the influence of coating method on electrode morphology</w:t>
      </w:r>
      <w:r w:rsidR="000C6139">
        <w:rPr>
          <w:rFonts w:ascii="Helvetica" w:hAnsi="Helvetica"/>
        </w:rPr>
        <w:t>. These measurements showed that slot die coating resulted in smaller catalyst agglomerates than gravure coating. The smaller agglomerate size is likely due the flocculated catalyst being better dispersed by the higher shear rates of the slot die process.</w:t>
      </w:r>
    </w:p>
    <w:p w14:paraId="777AB384" w14:textId="36314F75" w:rsidR="000C6139" w:rsidRDefault="000C6139" w:rsidP="00E70B96">
      <w:pPr>
        <w:rPr>
          <w:rFonts w:ascii="Helvetica" w:hAnsi="Helvetica"/>
        </w:rPr>
      </w:pPr>
      <w:r>
        <w:rPr>
          <w:rFonts w:ascii="Helvetica" w:hAnsi="Helvetica"/>
        </w:rPr>
        <w:t xml:space="preserve"> </w:t>
      </w:r>
    </w:p>
    <w:p w14:paraId="09CF3580" w14:textId="0AC315BB" w:rsidR="00E70B96" w:rsidRPr="00E70B96" w:rsidRDefault="00E70B96" w:rsidP="00E70B96">
      <w:pPr>
        <w:rPr>
          <w:rFonts w:ascii="Helvetica" w:hAnsi="Helvetica"/>
        </w:rPr>
      </w:pPr>
      <w:r w:rsidRPr="00E70B96">
        <w:rPr>
          <w:rFonts w:ascii="Helvetica" w:hAnsi="Helvetica"/>
        </w:rPr>
        <w:t xml:space="preserve">In situ performance and other electrochemical diagnostics were used to determine the influence of coating method on catalyst layer electrochemical properties. </w:t>
      </w:r>
      <w:r w:rsidR="000C6139">
        <w:rPr>
          <w:rFonts w:ascii="Helvetica" w:hAnsi="Helvetica"/>
        </w:rPr>
        <w:t>We find that</w:t>
      </w:r>
      <w:r w:rsidR="00803BC5">
        <w:rPr>
          <w:rFonts w:ascii="Helvetica" w:hAnsi="Helvetica"/>
        </w:rPr>
        <w:t xml:space="preserve"> slot die coating results in higher proton conductivity. </w:t>
      </w:r>
      <w:r w:rsidR="00212233">
        <w:rPr>
          <w:rFonts w:ascii="Helvetica" w:hAnsi="Helvetica"/>
        </w:rPr>
        <w:t>T</w:t>
      </w:r>
      <w:r w:rsidR="00803BC5">
        <w:rPr>
          <w:rFonts w:ascii="Helvetica" w:hAnsi="Helvetica"/>
        </w:rPr>
        <w:t>his is due to the smaller agglomerates of the catalyst layer decreasing the catalyst layer tortuosity compared to a gravure</w:t>
      </w:r>
      <w:r w:rsidR="00212233">
        <w:rPr>
          <w:rFonts w:ascii="Helvetica" w:hAnsi="Helvetica"/>
        </w:rPr>
        <w:t>-</w:t>
      </w:r>
      <w:r w:rsidR="00803BC5">
        <w:rPr>
          <w:rFonts w:ascii="Helvetica" w:hAnsi="Helvetica"/>
        </w:rPr>
        <w:t>coated electrode. We also find that the slot die</w:t>
      </w:r>
      <w:r w:rsidR="00212233">
        <w:rPr>
          <w:rFonts w:ascii="Helvetica" w:hAnsi="Helvetica"/>
        </w:rPr>
        <w:t>-</w:t>
      </w:r>
      <w:r w:rsidR="00803BC5">
        <w:rPr>
          <w:rFonts w:ascii="Helvetica" w:hAnsi="Helvetica"/>
        </w:rPr>
        <w:t xml:space="preserve">coated catalyst layers are less sensitive to humidity than gravure coated catalyst layers. This is due to the smaller catalyst agglomerate size leading to more of catalyst in contact with proton-conducting polymer, which decreases the dependence on liquid water for proton conduction. These two factors result in the slot die coated catalyst layers exhibiting higher performance than the gravure coated catalyst layers. </w:t>
      </w:r>
    </w:p>
    <w:p w14:paraId="698B8E08" w14:textId="25940501" w:rsidR="00A850F7" w:rsidRPr="00E70B96" w:rsidRDefault="00A850F7">
      <w:pPr>
        <w:pStyle w:val="BodyText2"/>
        <w:spacing w:line="480" w:lineRule="auto"/>
        <w:rPr>
          <w:b/>
          <w:u w:val="single"/>
        </w:rPr>
      </w:pPr>
    </w:p>
    <w:p w14:paraId="766C7257" w14:textId="28BBBA2B" w:rsidR="00E70B96" w:rsidRPr="00E70B96" w:rsidRDefault="00E70B96" w:rsidP="00E70B96">
      <w:pPr>
        <w:rPr>
          <w:rFonts w:ascii="Helvetica" w:hAnsi="Helvetica"/>
          <w:i/>
          <w:iCs/>
        </w:rPr>
      </w:pPr>
      <w:r w:rsidRPr="00E70B96">
        <w:rPr>
          <w:rFonts w:ascii="Helvetica" w:hAnsi="Helvetica"/>
          <w:i/>
          <w:iCs/>
        </w:rPr>
        <w:lastRenderedPageBreak/>
        <w:t>This work was authored</w:t>
      </w:r>
      <w:r w:rsidRPr="000C6139">
        <w:rPr>
          <w:rFonts w:ascii="Helvetica" w:hAnsi="Helvetica"/>
          <w:i/>
          <w:iCs/>
        </w:rPr>
        <w:t xml:space="preserve"> in part</w:t>
      </w:r>
      <w:r w:rsidRPr="00E70B96">
        <w:rPr>
          <w:rFonts w:ascii="Helvetica" w:hAnsi="Helvetica"/>
          <w:i/>
          <w:iCs/>
        </w:rPr>
        <w:t xml:space="preserve"> by the National Renewable Energy Laboratory, operated by Alliance for Sustainable Energy, LLC, for the U.S. Department of Energy (DOE) under Contract No. DE-AC36-08GO28308. Funding provided by </w:t>
      </w:r>
      <w:r w:rsidRPr="00E70B96">
        <w:rPr>
          <w:rFonts w:ascii="Helvetica" w:hAnsi="Helvetica"/>
          <w:i/>
          <w:iCs/>
          <w:color w:val="000000" w:themeColor="text1"/>
        </w:rPr>
        <w:t xml:space="preserve">U.S. Department of Energy Office of Energy Efficiency and Renewable Energy </w:t>
      </w:r>
      <w:r w:rsidRPr="000C6139">
        <w:rPr>
          <w:rFonts w:ascii="Helvetica" w:hAnsi="Helvetica"/>
          <w:i/>
          <w:iCs/>
          <w:color w:val="000000" w:themeColor="text1"/>
        </w:rPr>
        <w:t>Hydrogen and Fuel Cell Technolog</w:t>
      </w:r>
      <w:r w:rsidR="00803BC5">
        <w:rPr>
          <w:rFonts w:ascii="Helvetica" w:hAnsi="Helvetica"/>
          <w:i/>
          <w:iCs/>
          <w:color w:val="000000" w:themeColor="text1"/>
        </w:rPr>
        <w:t>ies</w:t>
      </w:r>
      <w:r w:rsidRPr="000C6139">
        <w:rPr>
          <w:rFonts w:ascii="Helvetica" w:hAnsi="Helvetica"/>
          <w:i/>
          <w:iCs/>
          <w:color w:val="000000" w:themeColor="text1"/>
        </w:rPr>
        <w:t xml:space="preserve"> Office</w:t>
      </w:r>
      <w:r w:rsidRPr="00E70B96">
        <w:rPr>
          <w:rFonts w:ascii="Helvetica" w:hAnsi="Helvetica"/>
          <w:i/>
          <w:iCs/>
          <w:color w:val="000000" w:themeColor="text1"/>
        </w:rPr>
        <w:t xml:space="preserve">. </w:t>
      </w:r>
      <w:r w:rsidRPr="00E70B96">
        <w:rPr>
          <w:rFonts w:ascii="Helvetica" w:hAnsi="Helvetica"/>
          <w:i/>
          <w:iCs/>
        </w:rPr>
        <w:t>The views expressed in the article do not necessarily represent the views of the DOE or the U.S. Government. The U.S. Government retains and the publisher, by accepting the article for publication, acknowledges that the U.S. Government retains a nonexclusive, paid-up, irrevocable, worldwide license to publish or reproduce the published form of this work, or allow others to do so, for U.S. Government purposes.</w:t>
      </w:r>
    </w:p>
    <w:p w14:paraId="3A90C9B6" w14:textId="5F97167E" w:rsidR="00E70B96" w:rsidRDefault="00E70B96">
      <w:pPr>
        <w:pStyle w:val="BodyText2"/>
        <w:spacing w:line="480" w:lineRule="auto"/>
        <w:rPr>
          <w:b/>
          <w:u w:val="single"/>
        </w:rPr>
      </w:pPr>
    </w:p>
    <w:p w14:paraId="4246D5A3" w14:textId="77777777" w:rsidR="00E70B96" w:rsidRDefault="00E70B96">
      <w:pPr>
        <w:pStyle w:val="BodyText2"/>
        <w:spacing w:line="480" w:lineRule="auto"/>
        <w:rPr>
          <w:b/>
          <w:u w:val="single"/>
        </w:rPr>
      </w:pPr>
    </w:p>
    <w:sectPr w:rsidR="00E70B9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2EE1F" w14:textId="77777777" w:rsidR="0073168F" w:rsidRDefault="0073168F" w:rsidP="002C49C1">
      <w:r>
        <w:separator/>
      </w:r>
    </w:p>
  </w:endnote>
  <w:endnote w:type="continuationSeparator" w:id="0">
    <w:p w14:paraId="43291DCB" w14:textId="77777777" w:rsidR="0073168F" w:rsidRDefault="0073168F"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3CE87" w14:textId="77777777" w:rsidR="0073168F" w:rsidRDefault="0073168F" w:rsidP="002C49C1">
      <w:r>
        <w:separator/>
      </w:r>
    </w:p>
  </w:footnote>
  <w:footnote w:type="continuationSeparator" w:id="0">
    <w:p w14:paraId="5470E8AA" w14:textId="77777777" w:rsidR="0073168F" w:rsidRDefault="0073168F" w:rsidP="002C4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20D3B"/>
    <w:multiLevelType w:val="hybridMultilevel"/>
    <w:tmpl w:val="38581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abstractNum w:abstractNumId="2" w15:restartNumberingAfterBreak="0">
    <w:nsid w:val="6F7C30EB"/>
    <w:multiLevelType w:val="hybridMultilevel"/>
    <w:tmpl w:val="BF42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7"/>
    <w:rsid w:val="000C6139"/>
    <w:rsid w:val="000D33F2"/>
    <w:rsid w:val="00212233"/>
    <w:rsid w:val="002C49C1"/>
    <w:rsid w:val="005121C8"/>
    <w:rsid w:val="005562F6"/>
    <w:rsid w:val="0073168F"/>
    <w:rsid w:val="0075181E"/>
    <w:rsid w:val="00803BC5"/>
    <w:rsid w:val="008E17C2"/>
    <w:rsid w:val="00A850F7"/>
    <w:rsid w:val="00AC1523"/>
    <w:rsid w:val="00AE1B86"/>
    <w:rsid w:val="00BB25C6"/>
    <w:rsid w:val="00D70D32"/>
    <w:rsid w:val="00E06A34"/>
    <w:rsid w:val="00E15FC0"/>
    <w:rsid w:val="00E70B96"/>
    <w:rsid w:val="00F0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Helvetica" w:hAnsi="Helvetica"/>
    </w:rPr>
  </w:style>
  <w:style w:type="paragraph" w:styleId="BodyText2">
    <w:name w:val="Body Text 2"/>
    <w:basedOn w:val="Normal"/>
    <w:semiHidden/>
    <w:pPr>
      <w:spacing w:line="240" w:lineRule="atLeast"/>
    </w:pPr>
    <w:rPr>
      <w:rFonts w:ascii="Helvetica" w:hAnsi="Helvetica"/>
      <w:snapToGrid w:val="0"/>
      <w:color w:val="000000"/>
    </w:rPr>
  </w:style>
  <w:style w:type="paragraph" w:styleId="ListParagraph">
    <w:name w:val="List Paragraph"/>
    <w:basedOn w:val="Normal"/>
    <w:uiPriority w:val="34"/>
    <w:qFormat/>
    <w:rsid w:val="00E70B96"/>
    <w:pPr>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C:\Users\Marcio\AppData\Local\Microsoft\Windows\Temporary Internet Files\Content.Outlook\52ND9ECJ\extended abstract.dot</Template>
  <TotalTime>29</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Pressurized Gravure Coating</vt:lpstr>
    </vt:vector>
  </TitlesOfParts>
  <Company>Dupont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Mauger, Scott</cp:lastModifiedBy>
  <cp:revision>4</cp:revision>
  <cp:lastPrinted>2002-09-19T14:07:00Z</cp:lastPrinted>
  <dcterms:created xsi:type="dcterms:W3CDTF">2020-07-14T21:52:00Z</dcterms:created>
  <dcterms:modified xsi:type="dcterms:W3CDTF">2020-07-15T14:53:00Z</dcterms:modified>
</cp:coreProperties>
</file>