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34ECBE" w14:textId="7B4D0167" w:rsidR="00A850F7" w:rsidRDefault="00BD70D9">
      <w:pPr>
        <w:jc w:val="center"/>
        <w:rPr>
          <w:rFonts w:ascii="Helvetica" w:hAnsi="Helvetica"/>
          <w:b/>
          <w:sz w:val="28"/>
          <w:szCs w:val="28"/>
        </w:rPr>
      </w:pPr>
      <w:r w:rsidRPr="00BD70D9">
        <w:rPr>
          <w:rFonts w:ascii="Helvetica" w:hAnsi="Helvetica"/>
          <w:b/>
          <w:sz w:val="28"/>
          <w:szCs w:val="28"/>
        </w:rPr>
        <w:t>Flexible Transparent Conductive Film by Solution-based Coating and Light Sintering Method</w:t>
      </w:r>
    </w:p>
    <w:p w14:paraId="543BD769" w14:textId="77777777" w:rsidR="00BD70D9" w:rsidRPr="00A850F7" w:rsidRDefault="00BD70D9">
      <w:pPr>
        <w:jc w:val="center"/>
        <w:rPr>
          <w:rFonts w:ascii="Helvetica" w:hAnsi="Helvetica"/>
          <w:b/>
          <w:sz w:val="28"/>
          <w:szCs w:val="28"/>
        </w:rPr>
      </w:pPr>
    </w:p>
    <w:p w14:paraId="0542C292" w14:textId="77777777" w:rsidR="00BD70D9" w:rsidRPr="00BD70D9" w:rsidRDefault="00BD70D9" w:rsidP="00BD70D9">
      <w:pPr>
        <w:jc w:val="center"/>
        <w:rPr>
          <w:rFonts w:ascii="Helvetica" w:hAnsi="Helvetica"/>
          <w:b/>
          <w:sz w:val="24"/>
          <w:szCs w:val="24"/>
        </w:rPr>
      </w:pPr>
      <w:r w:rsidRPr="00BD70D9">
        <w:rPr>
          <w:rFonts w:ascii="Helvetica" w:hAnsi="Helvetica"/>
          <w:b/>
          <w:sz w:val="24"/>
          <w:szCs w:val="24"/>
        </w:rPr>
        <w:t>I-Feng Wu</w:t>
      </w:r>
      <w:r w:rsidRPr="00BD70D9">
        <w:rPr>
          <w:rFonts w:ascii="Helvetica" w:hAnsi="Helvetica"/>
          <w:b/>
          <w:sz w:val="24"/>
          <w:szCs w:val="24"/>
          <w:vertAlign w:val="superscript"/>
        </w:rPr>
        <w:t>1</w:t>
      </w:r>
      <w:r w:rsidRPr="00BD70D9">
        <w:rPr>
          <w:rFonts w:ascii="Helvetica" w:hAnsi="Helvetica"/>
          <w:b/>
          <w:sz w:val="24"/>
          <w:szCs w:val="24"/>
        </w:rPr>
        <w:t>, Ying-</w:t>
      </w:r>
      <w:proofErr w:type="spellStart"/>
      <w:r w:rsidRPr="00BD70D9">
        <w:rPr>
          <w:rFonts w:ascii="Helvetica" w:hAnsi="Helvetica"/>
          <w:b/>
          <w:sz w:val="24"/>
          <w:szCs w:val="24"/>
        </w:rPr>
        <w:t>Chih</w:t>
      </w:r>
      <w:proofErr w:type="spellEnd"/>
      <w:r w:rsidRPr="00BD70D9">
        <w:rPr>
          <w:rFonts w:ascii="Helvetica" w:hAnsi="Helvetica"/>
          <w:b/>
          <w:sz w:val="24"/>
          <w:szCs w:val="24"/>
        </w:rPr>
        <w:t xml:space="preserve"> Liao</w:t>
      </w:r>
      <w:r w:rsidRPr="00BD70D9">
        <w:rPr>
          <w:rFonts w:ascii="Helvetica" w:hAnsi="Helvetica"/>
          <w:b/>
          <w:sz w:val="24"/>
          <w:szCs w:val="24"/>
          <w:vertAlign w:val="superscript"/>
        </w:rPr>
        <w:t>1</w:t>
      </w:r>
      <w:r w:rsidRPr="00BD70D9">
        <w:rPr>
          <w:rFonts w:ascii="Helvetica" w:hAnsi="Helvetica"/>
          <w:b/>
          <w:sz w:val="24"/>
          <w:szCs w:val="24"/>
        </w:rPr>
        <w:t>*</w:t>
      </w:r>
    </w:p>
    <w:p w14:paraId="6D2F1C73" w14:textId="77777777" w:rsidR="00BD70D9" w:rsidRPr="00BD70D9" w:rsidRDefault="00BD70D9" w:rsidP="00BD70D9">
      <w:pPr>
        <w:jc w:val="center"/>
        <w:rPr>
          <w:rFonts w:ascii="Helvetica" w:hAnsi="Helvetica"/>
          <w:b/>
          <w:sz w:val="24"/>
          <w:szCs w:val="24"/>
        </w:rPr>
      </w:pPr>
      <w:r w:rsidRPr="00BD70D9">
        <w:rPr>
          <w:rFonts w:ascii="Helvetica" w:hAnsi="Helvetica"/>
          <w:b/>
          <w:sz w:val="24"/>
          <w:szCs w:val="24"/>
          <w:vertAlign w:val="superscript"/>
        </w:rPr>
        <w:t>1</w:t>
      </w:r>
      <w:r w:rsidRPr="00BD70D9">
        <w:rPr>
          <w:rFonts w:ascii="Helvetica" w:hAnsi="Helvetica"/>
          <w:b/>
          <w:sz w:val="24"/>
          <w:szCs w:val="24"/>
        </w:rPr>
        <w:t xml:space="preserve"> Department of Chemical Engineering, National Taiwan University, Taipei, Taiwan </w:t>
      </w:r>
    </w:p>
    <w:p w14:paraId="0CA15B8B" w14:textId="6E30CB57" w:rsidR="00A850F7" w:rsidRDefault="00BD70D9" w:rsidP="00BD70D9">
      <w:pPr>
        <w:jc w:val="center"/>
        <w:rPr>
          <w:rFonts w:ascii="Helvetica" w:hAnsi="Helvetica"/>
          <w:b/>
          <w:sz w:val="24"/>
          <w:szCs w:val="24"/>
        </w:rPr>
      </w:pPr>
      <w:r w:rsidRPr="00BD70D9">
        <w:rPr>
          <w:rFonts w:ascii="Helvetica" w:hAnsi="Helvetica"/>
          <w:b/>
          <w:sz w:val="24"/>
          <w:szCs w:val="24"/>
        </w:rPr>
        <w:t xml:space="preserve">*Email address for correspondence: </w:t>
      </w:r>
      <w:hyperlink r:id="rId8" w:history="1">
        <w:r w:rsidRPr="00D70C71">
          <w:rPr>
            <w:rStyle w:val="a8"/>
            <w:rFonts w:ascii="Helvetica" w:hAnsi="Helvetica"/>
            <w:b/>
            <w:sz w:val="24"/>
            <w:szCs w:val="24"/>
          </w:rPr>
          <w:t>liaoy@ntu.edu.tw</w:t>
        </w:r>
      </w:hyperlink>
    </w:p>
    <w:p w14:paraId="48B28652" w14:textId="77777777" w:rsidR="00BD70D9" w:rsidRPr="00A850F7" w:rsidRDefault="00BD70D9" w:rsidP="00BD70D9">
      <w:pPr>
        <w:jc w:val="center"/>
        <w:rPr>
          <w:rFonts w:ascii="Helvetica" w:hAnsi="Helvetica"/>
          <w:b/>
          <w:sz w:val="28"/>
          <w:szCs w:val="28"/>
        </w:rPr>
      </w:pPr>
    </w:p>
    <w:p w14:paraId="25419B52" w14:textId="4CC7CBEF" w:rsidR="008E17C2" w:rsidRDefault="00A850F7">
      <w:pPr>
        <w:jc w:val="center"/>
        <w:rPr>
          <w:rFonts w:ascii="Helvetica" w:hAnsi="Helvetica"/>
        </w:rPr>
      </w:pPr>
      <w:r>
        <w:rPr>
          <w:rFonts w:ascii="Helvetica" w:hAnsi="Helvetica"/>
        </w:rPr>
        <w:t xml:space="preserve">Presented at the </w:t>
      </w:r>
      <w:r w:rsidR="005562F6">
        <w:rPr>
          <w:rFonts w:ascii="Helvetica" w:hAnsi="Helvetica"/>
        </w:rPr>
        <w:t>20</w:t>
      </w:r>
      <w:r>
        <w:rPr>
          <w:rFonts w:ascii="Helvetica" w:hAnsi="Helvetica"/>
          <w:vertAlign w:val="superscript"/>
        </w:rPr>
        <w:t>th</w:t>
      </w:r>
      <w:r>
        <w:rPr>
          <w:rFonts w:ascii="Helvetica" w:hAnsi="Helvetica"/>
        </w:rPr>
        <w:t xml:space="preserve"> International Coating Science and Technology Symposium</w:t>
      </w:r>
    </w:p>
    <w:p w14:paraId="60F058A0" w14:textId="2ED563BA" w:rsidR="008E17C2" w:rsidRDefault="00A850F7">
      <w:pPr>
        <w:jc w:val="center"/>
        <w:rPr>
          <w:rFonts w:ascii="Helvetica" w:hAnsi="Helvetica"/>
        </w:rPr>
      </w:pPr>
      <w:r>
        <w:rPr>
          <w:rFonts w:ascii="Helvetica" w:hAnsi="Helvetica"/>
        </w:rPr>
        <w:t xml:space="preserve">September </w:t>
      </w:r>
      <w:r w:rsidR="00D70D32">
        <w:rPr>
          <w:rFonts w:ascii="Helvetica" w:hAnsi="Helvetica"/>
        </w:rPr>
        <w:t>20</w:t>
      </w:r>
      <w:r>
        <w:rPr>
          <w:rFonts w:ascii="Helvetica" w:hAnsi="Helvetica"/>
        </w:rPr>
        <w:t>-</w:t>
      </w:r>
      <w:r w:rsidR="00D70D32">
        <w:rPr>
          <w:rFonts w:ascii="Helvetica" w:hAnsi="Helvetica"/>
        </w:rPr>
        <w:t>23</w:t>
      </w:r>
      <w:r>
        <w:rPr>
          <w:rFonts w:ascii="Helvetica" w:hAnsi="Helvetica"/>
        </w:rPr>
        <w:t>, 20</w:t>
      </w:r>
      <w:r w:rsidR="00D70D32">
        <w:rPr>
          <w:rFonts w:ascii="Helvetica" w:hAnsi="Helvetica"/>
        </w:rPr>
        <w:t>20</w:t>
      </w:r>
    </w:p>
    <w:p w14:paraId="7F84E908" w14:textId="7973EDA0" w:rsidR="008E17C2" w:rsidRDefault="005121C8">
      <w:pPr>
        <w:jc w:val="center"/>
        <w:rPr>
          <w:rFonts w:ascii="Helvetica" w:hAnsi="Helvetica"/>
        </w:rPr>
      </w:pPr>
      <w:r>
        <w:rPr>
          <w:rFonts w:ascii="Helvetica" w:hAnsi="Helvetica"/>
        </w:rPr>
        <w:t>Minneapolis</w:t>
      </w:r>
      <w:r w:rsidR="00A850F7">
        <w:rPr>
          <w:rFonts w:ascii="Helvetica" w:hAnsi="Helvetica"/>
        </w:rPr>
        <w:t xml:space="preserve">, </w:t>
      </w:r>
      <w:r>
        <w:rPr>
          <w:rFonts w:ascii="Helvetica" w:hAnsi="Helvetica"/>
        </w:rPr>
        <w:t>MN</w:t>
      </w:r>
      <w:r w:rsidR="00A850F7">
        <w:rPr>
          <w:rFonts w:ascii="Helvetica" w:hAnsi="Helvetica"/>
        </w:rPr>
        <w:t>, USA</w:t>
      </w:r>
    </w:p>
    <w:p w14:paraId="28ECE23A" w14:textId="77777777" w:rsidR="008E17C2" w:rsidRDefault="008E17C2">
      <w:pPr>
        <w:jc w:val="center"/>
        <w:rPr>
          <w:rFonts w:ascii="Helvetica" w:hAnsi="Helvetica"/>
        </w:rPr>
      </w:pPr>
    </w:p>
    <w:p w14:paraId="22AF8A89" w14:textId="77777777" w:rsidR="008E17C2" w:rsidRDefault="00A850F7">
      <w:pPr>
        <w:pStyle w:val="a3"/>
        <w:rPr>
          <w:rFonts w:ascii="Helvetica-Narrow" w:hAnsi="Helvetica-Narrow"/>
        </w:rPr>
      </w:pPr>
      <w:r>
        <w:rPr>
          <w:rFonts w:ascii="Helvetica-Narrow" w:hAnsi="Helvetica-Narrow"/>
        </w:rPr>
        <w:t>ISCST shall not be responsible for statements or opinions contained in papers or printed in its publications.</w:t>
      </w:r>
    </w:p>
    <w:p w14:paraId="43627DD7" w14:textId="77777777" w:rsidR="008E17C2" w:rsidRDefault="008E17C2">
      <w:pPr>
        <w:pStyle w:val="a3"/>
      </w:pPr>
    </w:p>
    <w:p w14:paraId="374C6A2A" w14:textId="77777777" w:rsidR="005121C8" w:rsidRDefault="005121C8">
      <w:pPr>
        <w:pStyle w:val="2"/>
        <w:spacing w:line="480" w:lineRule="auto"/>
        <w:rPr>
          <w:b/>
          <w:u w:val="single"/>
        </w:rPr>
      </w:pPr>
    </w:p>
    <w:p w14:paraId="3482734E" w14:textId="2BB758A9" w:rsidR="008E17C2" w:rsidRDefault="00A850F7">
      <w:pPr>
        <w:pStyle w:val="2"/>
        <w:spacing w:line="480" w:lineRule="auto"/>
        <w:rPr>
          <w:b/>
        </w:rPr>
      </w:pPr>
      <w:r>
        <w:rPr>
          <w:b/>
          <w:u w:val="single"/>
        </w:rPr>
        <w:t>Extended Abstract</w:t>
      </w:r>
      <w:r>
        <w:rPr>
          <w:b/>
        </w:rPr>
        <w:t xml:space="preserve"> (</w:t>
      </w:r>
      <w:r w:rsidR="00AE1B86">
        <w:rPr>
          <w:b/>
        </w:rPr>
        <w:t>ten p</w:t>
      </w:r>
      <w:r>
        <w:rPr>
          <w:b/>
        </w:rPr>
        <w:t>age</w:t>
      </w:r>
      <w:r w:rsidR="007D54C2">
        <w:rPr>
          <w:b/>
        </w:rPr>
        <w:t>s</w:t>
      </w:r>
      <w:r>
        <w:rPr>
          <w:b/>
        </w:rPr>
        <w:t xml:space="preserve"> maximum):</w:t>
      </w:r>
    </w:p>
    <w:p w14:paraId="33D11640" w14:textId="2AA5372A" w:rsidR="007D54C2" w:rsidRDefault="007D54C2">
      <w:pPr>
        <w:pStyle w:val="2"/>
        <w:spacing w:line="480" w:lineRule="auto"/>
        <w:rPr>
          <w:b/>
          <w:lang w:eastAsia="zh-TW"/>
        </w:rPr>
      </w:pPr>
      <w:r>
        <w:rPr>
          <w:rFonts w:hint="eastAsia"/>
          <w:b/>
          <w:lang w:eastAsia="zh-TW"/>
        </w:rPr>
        <w:t>I</w:t>
      </w:r>
      <w:r>
        <w:rPr>
          <w:b/>
          <w:lang w:eastAsia="zh-TW"/>
        </w:rPr>
        <w:t>ntroduction</w:t>
      </w:r>
    </w:p>
    <w:p w14:paraId="698B8E08" w14:textId="3BED0025" w:rsidR="00A850F7" w:rsidRDefault="007D54C2" w:rsidP="007D54C2">
      <w:pPr>
        <w:pStyle w:val="2"/>
        <w:spacing w:line="480" w:lineRule="auto"/>
        <w:ind w:firstLine="720"/>
        <w:jc w:val="both"/>
      </w:pPr>
      <w:r w:rsidRPr="007D54C2">
        <w:t>Recently, transparent conductive films</w:t>
      </w:r>
      <w:r w:rsidR="00A40F31">
        <w:t xml:space="preserve"> (TCFs)</w:t>
      </w:r>
      <w:r w:rsidRPr="007D54C2">
        <w:t xml:space="preserve"> have been widely used in electronics</w:t>
      </w:r>
      <w:r>
        <w:t xml:space="preserve">, such as </w:t>
      </w:r>
      <w:r w:rsidR="00E30285">
        <w:t xml:space="preserve">liquid crystal display, </w:t>
      </w:r>
      <w:r w:rsidR="00A40F31">
        <w:t>touch screen and solar cell</w:t>
      </w:r>
      <w:r w:rsidRPr="007D54C2">
        <w:t xml:space="preserve">. Indium tin oxide (ITO), as the most </w:t>
      </w:r>
      <w:r>
        <w:t xml:space="preserve">frequently-used transparent conductive oxide, </w:t>
      </w:r>
      <w:r w:rsidRPr="007D54C2">
        <w:t xml:space="preserve">is commonly utilized in the fabrication process of transparent conductive films. To prepare ITO thin films, traditional CVD or sputtering processes are regularly employed. However, these methods usually </w:t>
      </w:r>
      <w:r>
        <w:t>require</w:t>
      </w:r>
      <w:r w:rsidRPr="007D54C2">
        <w:t xml:space="preserve"> high facility cost and restrictions. Consequently, solution-based coating process become</w:t>
      </w:r>
      <w:r>
        <w:t>s</w:t>
      </w:r>
      <w:r w:rsidRPr="007D54C2">
        <w:t xml:space="preserve"> an excellent candidate for </w:t>
      </w:r>
      <w:r>
        <w:t>ITO transparent conductive film</w:t>
      </w:r>
      <w:r w:rsidRPr="007D54C2">
        <w:t xml:space="preserve"> manufacturing because it allows</w:t>
      </w:r>
      <w:r w:rsidR="00A40F31">
        <w:t xml:space="preserve"> TCFs be fabricated by nanoparticle ink</w:t>
      </w:r>
      <w:r w:rsidR="00C6204B">
        <w:rPr>
          <w:rFonts w:hint="eastAsia"/>
          <w:lang w:eastAsia="zh-TW"/>
        </w:rPr>
        <w:t>s</w:t>
      </w:r>
      <w:r w:rsidR="00AE4096">
        <w:t xml:space="preserve"> on flexible polymer substrate</w:t>
      </w:r>
      <w:r w:rsidR="00C6204B">
        <w:t>s</w:t>
      </w:r>
      <w:r w:rsidRPr="007D54C2">
        <w:t>.</w:t>
      </w:r>
      <w:r w:rsidR="00A40F31">
        <w:t xml:space="preserve"> Nevertheles</w:t>
      </w:r>
      <w:r w:rsidR="00197584">
        <w:t xml:space="preserve">s, ink quality and drying behavior during coating process </w:t>
      </w:r>
      <w:r w:rsidR="00DA403D">
        <w:t>greatly influence</w:t>
      </w:r>
      <w:r w:rsidR="006B1ED4">
        <w:rPr>
          <w:rFonts w:hint="eastAsia"/>
          <w:lang w:eastAsia="zh-TW"/>
        </w:rPr>
        <w:t xml:space="preserve"> </w:t>
      </w:r>
      <w:r w:rsidR="00DA403D">
        <w:t>roughness and packing density</w:t>
      </w:r>
      <w:r w:rsidR="006B1ED4">
        <w:rPr>
          <w:rFonts w:hint="eastAsia"/>
          <w:lang w:eastAsia="zh-TW"/>
        </w:rPr>
        <w:t xml:space="preserve"> </w:t>
      </w:r>
      <w:r w:rsidR="006B1ED4">
        <w:t>of films</w:t>
      </w:r>
      <w:r w:rsidR="00DA403D">
        <w:t>. T</w:t>
      </w:r>
      <w:r w:rsidR="00CB6869">
        <w:t xml:space="preserve">he </w:t>
      </w:r>
      <w:r w:rsidR="00A40F31">
        <w:t>loose compact of nanoparticles deposited on substrate decreases electrical conductivity. Intense pulsed light</w:t>
      </w:r>
      <w:r w:rsidR="00471B9C">
        <w:t xml:space="preserve"> (IPL)</w:t>
      </w:r>
      <w:r w:rsidR="00A40F31">
        <w:t xml:space="preserve">, one of light sintering process, </w:t>
      </w:r>
      <w:r w:rsidR="00471B9C">
        <w:t xml:space="preserve">can effectively sinter large area transparent conductive oxides in short time period (~milliseconds). Also, </w:t>
      </w:r>
      <w:r w:rsidR="00992547">
        <w:t>during IPL sintering process, the</w:t>
      </w:r>
      <w:r w:rsidR="00AE4096">
        <w:t xml:space="preserve"> </w:t>
      </w:r>
      <w:r w:rsidR="00992547">
        <w:t xml:space="preserve">substrate </w:t>
      </w:r>
      <w:r w:rsidR="00AE4096">
        <w:t>remain</w:t>
      </w:r>
      <w:r w:rsidR="0041212C">
        <w:t>s</w:t>
      </w:r>
      <w:r w:rsidR="00992547">
        <w:t xml:space="preserve"> at nearly room temperature </w:t>
      </w:r>
      <w:r w:rsidR="00AE4096">
        <w:t xml:space="preserve">and </w:t>
      </w:r>
      <w:r w:rsidR="0041212C">
        <w:t>the process is</w:t>
      </w:r>
      <w:r w:rsidR="00AE4096">
        <w:t xml:space="preserve"> harmless to polymer substrate during the sintering process.</w:t>
      </w:r>
    </w:p>
    <w:p w14:paraId="09B215C7" w14:textId="6E9513EF" w:rsidR="00AE4096" w:rsidRDefault="00AE4096" w:rsidP="007D54C2">
      <w:pPr>
        <w:pStyle w:val="2"/>
        <w:spacing w:line="480" w:lineRule="auto"/>
        <w:ind w:firstLine="720"/>
        <w:jc w:val="both"/>
      </w:pPr>
      <w:r w:rsidRPr="00AE4096">
        <w:t>In this study,</w:t>
      </w:r>
      <w:r w:rsidR="0041212C">
        <w:t xml:space="preserve"> an</w:t>
      </w:r>
      <w:r w:rsidRPr="00AE4096">
        <w:t xml:space="preserve"> ITO ink is formulated for </w:t>
      </w:r>
      <w:r w:rsidR="0041212C">
        <w:t>coated</w:t>
      </w:r>
      <w:r w:rsidRPr="00AE4096">
        <w:t xml:space="preserve"> transparent conductive film</w:t>
      </w:r>
      <w:r w:rsidR="0041212C">
        <w:t>s</w:t>
      </w:r>
      <w:r w:rsidRPr="00AE4096">
        <w:t xml:space="preserve"> on flexible substrate</w:t>
      </w:r>
      <w:r w:rsidR="00EC390F">
        <w:t>s</w:t>
      </w:r>
      <w:r w:rsidRPr="00AE4096">
        <w:t xml:space="preserve"> with high transparency and conductivity. </w:t>
      </w:r>
      <w:r>
        <w:t>D</w:t>
      </w:r>
      <w:r w:rsidRPr="00AE4096">
        <w:t xml:space="preserve">ynamic light scattering </w:t>
      </w:r>
      <w:r>
        <w:t xml:space="preserve">is </w:t>
      </w:r>
      <w:r w:rsidR="00EC390F">
        <w:t>used</w:t>
      </w:r>
      <w:r w:rsidRPr="00AE4096">
        <w:t xml:space="preserve"> to evaluate particle size of suspension. </w:t>
      </w:r>
      <w:r>
        <w:t xml:space="preserve">Blade </w:t>
      </w:r>
      <w:r w:rsidRPr="00AE4096">
        <w:t>coating is used to form transparent conductive film on flexible</w:t>
      </w:r>
      <w:r>
        <w:t xml:space="preserve"> PET</w:t>
      </w:r>
      <w:r w:rsidRPr="00AE4096">
        <w:t xml:space="preserve"> substrate. Effects of </w:t>
      </w:r>
      <w:r>
        <w:t>different</w:t>
      </w:r>
      <w:r w:rsidRPr="00AE4096">
        <w:t xml:space="preserve"> </w:t>
      </w:r>
      <w:r>
        <w:t xml:space="preserve">IPL </w:t>
      </w:r>
      <w:r w:rsidRPr="00AE4096">
        <w:t xml:space="preserve">sintering </w:t>
      </w:r>
      <w:r>
        <w:t>parameters</w:t>
      </w:r>
      <w:r w:rsidRPr="00AE4096">
        <w:t xml:space="preserve"> are tested to reach </w:t>
      </w:r>
      <w:r>
        <w:t>lower sheet resistance and higher figure of merit (FOM) value.</w:t>
      </w:r>
      <w:r w:rsidRPr="00AE4096">
        <w:t xml:space="preserve"> The morphology will also be examined to investigate necking phenomena between particles in the sintering process. Moreover, UV-visible spectroscopy is used to evaluate transparency of transparent </w:t>
      </w:r>
      <w:r w:rsidRPr="00AE4096">
        <w:lastRenderedPageBreak/>
        <w:t xml:space="preserve">conductive film. The highly conductive transparent film can be produced through coating and sintering under room temperature. This research paves a new way for </w:t>
      </w:r>
      <w:r>
        <w:t xml:space="preserve">transparent conductive oxides </w:t>
      </w:r>
      <w:r w:rsidRPr="00AE4096">
        <w:t xml:space="preserve">sintering and </w:t>
      </w:r>
      <w:r>
        <w:t>TCF</w:t>
      </w:r>
      <w:r w:rsidR="00006DD2">
        <w:t>s</w:t>
      </w:r>
      <w:r>
        <w:t xml:space="preserve"> fabrication</w:t>
      </w:r>
      <w:r w:rsidRPr="00AE4096">
        <w:t xml:space="preserve"> as further application.</w:t>
      </w:r>
    </w:p>
    <w:p w14:paraId="19F067CF" w14:textId="36CB2D1E" w:rsidR="006A626F" w:rsidRDefault="006A626F" w:rsidP="006A626F">
      <w:pPr>
        <w:pStyle w:val="2"/>
        <w:spacing w:line="480" w:lineRule="auto"/>
        <w:jc w:val="both"/>
      </w:pPr>
    </w:p>
    <w:p w14:paraId="05D399EA" w14:textId="67C089CC" w:rsidR="006A626F" w:rsidRDefault="006A626F" w:rsidP="006A626F">
      <w:pPr>
        <w:pStyle w:val="2"/>
        <w:spacing w:line="480" w:lineRule="auto"/>
        <w:rPr>
          <w:b/>
          <w:lang w:eastAsia="zh-TW"/>
        </w:rPr>
      </w:pPr>
      <w:r>
        <w:rPr>
          <w:b/>
          <w:lang w:eastAsia="zh-TW"/>
        </w:rPr>
        <w:t>Result and discussion</w:t>
      </w:r>
    </w:p>
    <w:p w14:paraId="0F235321" w14:textId="1212E032" w:rsidR="00BC1118" w:rsidRDefault="00006DD2" w:rsidP="006A626F">
      <w:pPr>
        <w:pStyle w:val="2"/>
        <w:spacing w:line="480" w:lineRule="auto"/>
        <w:jc w:val="both"/>
        <w:rPr>
          <w:lang w:eastAsia="zh-TW"/>
        </w:rPr>
      </w:pPr>
      <w:r>
        <w:rPr>
          <w:lang w:eastAsia="zh-TW"/>
        </w:rPr>
        <w:tab/>
        <w:t>First,</w:t>
      </w:r>
      <w:r w:rsidR="00A4382B">
        <w:rPr>
          <w:lang w:eastAsia="zh-TW"/>
        </w:rPr>
        <w:t xml:space="preserve"> </w:t>
      </w:r>
      <w:r w:rsidR="009407BF">
        <w:rPr>
          <w:lang w:eastAsia="zh-TW"/>
        </w:rPr>
        <w:t>b</w:t>
      </w:r>
      <w:r w:rsidR="00A4382B">
        <w:rPr>
          <w:lang w:eastAsia="zh-TW"/>
        </w:rPr>
        <w:t xml:space="preserve">ecause of the strong attractive force between nanoparticles, </w:t>
      </w:r>
      <w:r w:rsidR="00CB455D">
        <w:rPr>
          <w:rFonts w:hint="eastAsia"/>
          <w:lang w:eastAsia="zh-TW"/>
        </w:rPr>
        <w:t>a</w:t>
      </w:r>
      <w:r w:rsidR="00CB455D">
        <w:rPr>
          <w:lang w:eastAsia="zh-TW"/>
        </w:rPr>
        <w:t xml:space="preserve">ggregation </w:t>
      </w:r>
      <w:r w:rsidR="00A4382B">
        <w:rPr>
          <w:lang w:eastAsia="zh-TW"/>
        </w:rPr>
        <w:t>of ITO</w:t>
      </w:r>
      <w:r w:rsidR="00CB455D">
        <w:rPr>
          <w:lang w:eastAsia="zh-TW"/>
        </w:rPr>
        <w:t xml:space="preserve"> nanoparticles</w:t>
      </w:r>
      <w:r w:rsidR="00A4382B">
        <w:rPr>
          <w:lang w:eastAsia="zh-TW"/>
        </w:rPr>
        <w:t xml:space="preserve"> w</w:t>
      </w:r>
      <w:r w:rsidR="00A7560B">
        <w:rPr>
          <w:lang w:eastAsia="zh-TW"/>
        </w:rPr>
        <w:t>ould</w:t>
      </w:r>
      <w:r w:rsidR="00A4382B">
        <w:rPr>
          <w:lang w:eastAsia="zh-TW"/>
        </w:rPr>
        <w:t xml:space="preserve"> strongly influence the quality of nanoparticle ink. </w:t>
      </w:r>
      <w:r w:rsidR="009407BF">
        <w:rPr>
          <w:lang w:eastAsia="zh-TW"/>
        </w:rPr>
        <w:t xml:space="preserve">Therefore, suitable dispersant and dispersing process </w:t>
      </w:r>
      <w:r w:rsidR="00A7560B">
        <w:rPr>
          <w:lang w:eastAsia="zh-TW"/>
        </w:rPr>
        <w:t>wer</w:t>
      </w:r>
      <w:r w:rsidR="009407BF">
        <w:rPr>
          <w:lang w:eastAsia="zh-TW"/>
        </w:rPr>
        <w:t xml:space="preserve">e </w:t>
      </w:r>
      <w:r w:rsidR="00CE0D1A">
        <w:rPr>
          <w:lang w:eastAsia="zh-TW"/>
        </w:rPr>
        <w:t>applied</w:t>
      </w:r>
      <w:r w:rsidR="009407BF">
        <w:rPr>
          <w:lang w:eastAsia="zh-TW"/>
        </w:rPr>
        <w:t xml:space="preserve"> to formulate stably dispersed ITO nanoparticle ink. </w:t>
      </w:r>
      <w:r w:rsidR="009407BF" w:rsidRPr="009407BF">
        <w:rPr>
          <w:lang w:eastAsia="zh-TW"/>
        </w:rPr>
        <w:t>2-[2-(2-</w:t>
      </w:r>
      <w:proofErr w:type="gramStart"/>
      <w:r w:rsidR="009407BF" w:rsidRPr="009407BF">
        <w:rPr>
          <w:lang w:eastAsia="zh-TW"/>
        </w:rPr>
        <w:t>Methoxyethoxy)ethoxy</w:t>
      </w:r>
      <w:proofErr w:type="gramEnd"/>
      <w:r w:rsidR="009407BF" w:rsidRPr="009407BF">
        <w:rPr>
          <w:lang w:eastAsia="zh-TW"/>
        </w:rPr>
        <w:t xml:space="preserve">]acetic acid </w:t>
      </w:r>
      <w:r w:rsidR="009407BF">
        <w:rPr>
          <w:lang w:eastAsia="zh-TW"/>
        </w:rPr>
        <w:t xml:space="preserve">(TODS) </w:t>
      </w:r>
      <w:r w:rsidR="00A7560B">
        <w:rPr>
          <w:lang w:eastAsia="zh-TW"/>
        </w:rPr>
        <w:t>wa</w:t>
      </w:r>
      <w:r w:rsidR="009407BF">
        <w:rPr>
          <w:lang w:eastAsia="zh-TW"/>
        </w:rPr>
        <w:t xml:space="preserve">s commonly used dispersant for </w:t>
      </w:r>
      <w:r w:rsidR="00D03A8F">
        <w:rPr>
          <w:lang w:eastAsia="zh-TW"/>
        </w:rPr>
        <w:t>metal oxides because C-O bonds in TODS structure c</w:t>
      </w:r>
      <w:r w:rsidR="00A7560B">
        <w:rPr>
          <w:lang w:eastAsia="zh-TW"/>
        </w:rPr>
        <w:t>ould</w:t>
      </w:r>
      <w:r w:rsidR="00D03A8F">
        <w:rPr>
          <w:lang w:eastAsia="zh-TW"/>
        </w:rPr>
        <w:t xml:space="preserve"> reinforce with ITO nanoparticle surface to </w:t>
      </w:r>
      <w:r w:rsidR="003721E9">
        <w:rPr>
          <w:lang w:eastAsia="zh-TW"/>
        </w:rPr>
        <w:t xml:space="preserve">form </w:t>
      </w:r>
      <w:r w:rsidR="00D03A8F">
        <w:rPr>
          <w:lang w:eastAsia="zh-TW"/>
        </w:rPr>
        <w:t>steric repulsion between particles.</w:t>
      </w:r>
      <w:r w:rsidR="00E77E8C">
        <w:rPr>
          <w:lang w:eastAsia="zh-TW"/>
        </w:rPr>
        <w:t xml:space="preserve"> Ball milling </w:t>
      </w:r>
      <w:r w:rsidR="00A7560B">
        <w:rPr>
          <w:lang w:eastAsia="zh-TW"/>
        </w:rPr>
        <w:t>wa</w:t>
      </w:r>
      <w:r w:rsidR="00E77E8C">
        <w:rPr>
          <w:lang w:eastAsia="zh-TW"/>
        </w:rPr>
        <w:t>s a mostly applied way for ink dispersion process because the shear force emerging from collisions c</w:t>
      </w:r>
      <w:r w:rsidR="00A7560B">
        <w:rPr>
          <w:lang w:eastAsia="zh-TW"/>
        </w:rPr>
        <w:t>ould</w:t>
      </w:r>
      <w:r w:rsidR="00E77E8C">
        <w:rPr>
          <w:lang w:eastAsia="zh-TW"/>
        </w:rPr>
        <w:t xml:space="preserve"> not only separate large aggregates but increase the adsorption of dispersants. </w:t>
      </w:r>
      <w:r w:rsidR="00D03A8F">
        <w:rPr>
          <w:lang w:eastAsia="zh-TW"/>
        </w:rPr>
        <w:t xml:space="preserve"> </w:t>
      </w:r>
      <w:r w:rsidR="00471298">
        <w:rPr>
          <w:lang w:eastAsia="zh-TW"/>
        </w:rPr>
        <w:t>Combined with ball milling process for 4 hr, the particle size of ITO ink can be reduce</w:t>
      </w:r>
      <w:r w:rsidR="00C723A2">
        <w:rPr>
          <w:lang w:eastAsia="zh-TW"/>
        </w:rPr>
        <w:t>d</w:t>
      </w:r>
      <w:r w:rsidR="00471298">
        <w:rPr>
          <w:lang w:eastAsia="zh-TW"/>
        </w:rPr>
        <w:t xml:space="preserve"> to ~145 nm</w:t>
      </w:r>
      <w:r w:rsidR="006E7F39">
        <w:rPr>
          <w:lang w:eastAsia="zh-TW"/>
        </w:rPr>
        <w:t xml:space="preserve"> as</w:t>
      </w:r>
      <w:r w:rsidR="00B6514C">
        <w:rPr>
          <w:lang w:eastAsia="zh-TW"/>
        </w:rPr>
        <w:t xml:space="preserve"> </w:t>
      </w:r>
      <w:r w:rsidR="007F122A">
        <w:rPr>
          <w:lang w:eastAsia="zh-TW"/>
        </w:rPr>
        <w:t xml:space="preserve">shown in </w:t>
      </w:r>
      <w:r w:rsidR="00B6514C">
        <w:rPr>
          <w:lang w:eastAsia="zh-TW"/>
        </w:rPr>
        <w:t xml:space="preserve">Fig </w:t>
      </w:r>
      <w:r w:rsidR="001C0193">
        <w:rPr>
          <w:lang w:eastAsia="zh-TW"/>
        </w:rPr>
        <w:t>1.</w:t>
      </w:r>
      <w:r w:rsidR="00471298">
        <w:rPr>
          <w:lang w:eastAsia="zh-TW"/>
        </w:rPr>
        <w:t>, which c</w:t>
      </w:r>
      <w:r w:rsidR="00A7560B">
        <w:rPr>
          <w:lang w:eastAsia="zh-TW"/>
        </w:rPr>
        <w:t>ould</w:t>
      </w:r>
      <w:r w:rsidR="00471298">
        <w:rPr>
          <w:lang w:eastAsia="zh-TW"/>
        </w:rPr>
        <w:t xml:space="preserve"> be further applied on coating process.</w:t>
      </w:r>
      <w:r w:rsidR="002940B3">
        <w:rPr>
          <w:lang w:eastAsia="zh-TW"/>
        </w:rPr>
        <w:t xml:space="preserve"> T</w:t>
      </w:r>
      <w:r w:rsidR="00C723A2">
        <w:rPr>
          <w:lang w:eastAsia="zh-TW"/>
        </w:rPr>
        <w:t xml:space="preserve">he main absorption peak of ITO ink </w:t>
      </w:r>
      <w:r w:rsidR="00A7560B">
        <w:rPr>
          <w:lang w:eastAsia="zh-TW"/>
        </w:rPr>
        <w:t>wa</w:t>
      </w:r>
      <w:r w:rsidR="00DF6031">
        <w:rPr>
          <w:lang w:eastAsia="zh-TW"/>
        </w:rPr>
        <w:t>s 306</w:t>
      </w:r>
      <w:r w:rsidR="00A16B67">
        <w:rPr>
          <w:lang w:eastAsia="zh-TW"/>
        </w:rPr>
        <w:t xml:space="preserve"> nm, includ</w:t>
      </w:r>
      <w:r w:rsidR="008D3E3B">
        <w:rPr>
          <w:lang w:eastAsia="zh-TW"/>
        </w:rPr>
        <w:t>ing</w:t>
      </w:r>
      <w:r w:rsidR="00A16B67">
        <w:rPr>
          <w:lang w:eastAsia="zh-TW"/>
        </w:rPr>
        <w:t xml:space="preserve"> in the light emission range of IPL</w:t>
      </w:r>
      <w:r w:rsidR="00CE0D1A">
        <w:rPr>
          <w:lang w:eastAsia="zh-TW"/>
        </w:rPr>
        <w:t xml:space="preserve"> (Fig 2)</w:t>
      </w:r>
      <w:r w:rsidR="00A16B67">
        <w:rPr>
          <w:lang w:eastAsia="zh-TW"/>
        </w:rPr>
        <w:t>.</w:t>
      </w:r>
      <w:r w:rsidR="00701C6F">
        <w:rPr>
          <w:lang w:eastAsia="zh-TW"/>
        </w:rPr>
        <w:t xml:space="preserve"> </w:t>
      </w:r>
      <w:r w:rsidR="00701C6F">
        <w:rPr>
          <w:rFonts w:hint="eastAsia"/>
          <w:lang w:eastAsia="zh-TW"/>
        </w:rPr>
        <w:t>A</w:t>
      </w:r>
      <w:r w:rsidR="00701C6F">
        <w:rPr>
          <w:lang w:eastAsia="zh-TW"/>
        </w:rPr>
        <w:t>fter absorbing light energy, light heat conversion effect c</w:t>
      </w:r>
      <w:r w:rsidR="00A7560B">
        <w:rPr>
          <w:lang w:eastAsia="zh-TW"/>
        </w:rPr>
        <w:t>ould</w:t>
      </w:r>
      <w:r w:rsidR="00701C6F">
        <w:rPr>
          <w:lang w:eastAsia="zh-TW"/>
        </w:rPr>
        <w:t xml:space="preserve"> increase the surface temperature and further sinter ITO nanoparticles.</w:t>
      </w:r>
      <w:r w:rsidR="00A16B67">
        <w:rPr>
          <w:lang w:eastAsia="zh-TW"/>
        </w:rPr>
        <w:t xml:space="preserve"> </w:t>
      </w:r>
      <w:r w:rsidR="00701C6F">
        <w:rPr>
          <w:lang w:eastAsia="zh-TW"/>
        </w:rPr>
        <w:t xml:space="preserve">For fabricating ITO films on substrate, </w:t>
      </w:r>
      <w:r w:rsidR="00471298">
        <w:rPr>
          <w:lang w:eastAsia="zh-TW"/>
        </w:rPr>
        <w:t>10wt% percent</w:t>
      </w:r>
      <w:r w:rsidR="004414C5">
        <w:rPr>
          <w:lang w:eastAsia="zh-TW"/>
        </w:rPr>
        <w:t xml:space="preserve"> (based on ITO powder)</w:t>
      </w:r>
      <w:r w:rsidR="00471298">
        <w:rPr>
          <w:lang w:eastAsia="zh-TW"/>
        </w:rPr>
        <w:t xml:space="preserve"> of binder was added to </w:t>
      </w:r>
      <w:r w:rsidR="004414C5">
        <w:rPr>
          <w:lang w:eastAsia="zh-TW"/>
        </w:rPr>
        <w:t xml:space="preserve">improve the adhesion of nanoparticles on PET substrate </w:t>
      </w:r>
      <w:r w:rsidR="00CE0D1A">
        <w:rPr>
          <w:lang w:eastAsia="zh-TW"/>
        </w:rPr>
        <w:t>during</w:t>
      </w:r>
      <w:r w:rsidR="008D3E3B">
        <w:rPr>
          <w:lang w:eastAsia="zh-TW"/>
        </w:rPr>
        <w:t xml:space="preserve"> </w:t>
      </w:r>
      <w:r w:rsidR="004414C5">
        <w:rPr>
          <w:lang w:eastAsia="zh-TW"/>
        </w:rPr>
        <w:t xml:space="preserve">blade coating process. </w:t>
      </w:r>
      <w:r w:rsidR="000711F6">
        <w:rPr>
          <w:lang w:eastAsia="zh-TW"/>
        </w:rPr>
        <w:t xml:space="preserve">The coating process was </w:t>
      </w:r>
      <w:r w:rsidR="00BC1118">
        <w:rPr>
          <w:lang w:eastAsia="zh-TW"/>
        </w:rPr>
        <w:t xml:space="preserve">undergone with 30 </w:t>
      </w:r>
      <w:proofErr w:type="spellStart"/>
      <w:r w:rsidR="00BC1118">
        <w:rPr>
          <w:rFonts w:cs="Helvetica"/>
          <w:lang w:eastAsia="zh-TW"/>
        </w:rPr>
        <w:t>μ</w:t>
      </w:r>
      <w:r w:rsidR="00BC1118">
        <w:rPr>
          <w:lang w:eastAsia="zh-TW"/>
        </w:rPr>
        <w:t>m</w:t>
      </w:r>
      <w:proofErr w:type="spellEnd"/>
      <w:r w:rsidR="00BC1118">
        <w:rPr>
          <w:lang w:eastAsia="zh-TW"/>
        </w:rPr>
        <w:t xml:space="preserve"> gap width blade and the coating speed was 40 mm/s.</w:t>
      </w:r>
    </w:p>
    <w:p w14:paraId="50BA60CD" w14:textId="10C6E477" w:rsidR="00B6514C" w:rsidRDefault="00B6514C" w:rsidP="00B6514C">
      <w:pPr>
        <w:pStyle w:val="2"/>
        <w:spacing w:line="480" w:lineRule="auto"/>
        <w:jc w:val="center"/>
        <w:rPr>
          <w:lang w:eastAsia="zh-TW"/>
        </w:rPr>
      </w:pPr>
      <w:r w:rsidRPr="00B6514C">
        <w:rPr>
          <w:noProof/>
          <w:lang w:eastAsia="zh-TW"/>
        </w:rPr>
        <w:drawing>
          <wp:inline distT="0" distB="0" distL="0" distR="0" wp14:anchorId="36F42A0A" wp14:editId="0FE20352">
            <wp:extent cx="2871989" cy="2102927"/>
            <wp:effectExtent l="0" t="0" r="0" b="0"/>
            <wp:docPr id="8" name="內容版面配置區 7">
              <a:extLst xmlns:a="http://schemas.openxmlformats.org/drawingml/2006/main">
                <a:ext uri="{FF2B5EF4-FFF2-40B4-BE49-F238E27FC236}">
                  <a16:creationId xmlns:a16="http://schemas.microsoft.com/office/drawing/2014/main" id="{078EB79A-CCA4-4A10-B50E-32132BFE600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內容版面配置區 7">
                      <a:extLst>
                        <a:ext uri="{FF2B5EF4-FFF2-40B4-BE49-F238E27FC236}">
                          <a16:creationId xmlns:a16="http://schemas.microsoft.com/office/drawing/2014/main" id="{078EB79A-CCA4-4A10-B50E-32132BFE6005}"/>
                        </a:ext>
                      </a:extLst>
                    </pic:cNvPr>
                    <pic:cNvPicPr>
                      <a:picLocks noGrp="1" noChangeAspect="1"/>
                    </pic:cNvPicPr>
                  </pic:nvPicPr>
                  <pic:blipFill rotWithShape="1">
                    <a:blip r:embed="rId9"/>
                    <a:srcRect r="22259" b="18497"/>
                    <a:stretch/>
                  </pic:blipFill>
                  <pic:spPr>
                    <a:xfrm>
                      <a:off x="0" y="0"/>
                      <a:ext cx="2912048" cy="2132259"/>
                    </a:xfrm>
                    <a:prstGeom prst="rect">
                      <a:avLst/>
                    </a:prstGeom>
                  </pic:spPr>
                </pic:pic>
              </a:graphicData>
            </a:graphic>
          </wp:inline>
        </w:drawing>
      </w:r>
    </w:p>
    <w:p w14:paraId="3937677F" w14:textId="6C28E92C" w:rsidR="00B6514C" w:rsidRDefault="00B6514C" w:rsidP="00B6514C">
      <w:pPr>
        <w:pStyle w:val="2"/>
        <w:spacing w:line="480" w:lineRule="auto"/>
        <w:jc w:val="center"/>
        <w:rPr>
          <w:lang w:eastAsia="zh-TW"/>
        </w:rPr>
      </w:pPr>
      <w:r>
        <w:rPr>
          <w:rFonts w:hint="eastAsia"/>
          <w:lang w:eastAsia="zh-TW"/>
        </w:rPr>
        <w:t>F</w:t>
      </w:r>
      <w:r>
        <w:rPr>
          <w:lang w:eastAsia="zh-TW"/>
        </w:rPr>
        <w:t xml:space="preserve">igure 1. </w:t>
      </w:r>
      <w:r w:rsidR="00E36740">
        <w:rPr>
          <w:lang w:eastAsia="zh-TW"/>
        </w:rPr>
        <w:t>P</w:t>
      </w:r>
      <w:r>
        <w:rPr>
          <w:lang w:eastAsia="zh-TW"/>
        </w:rPr>
        <w:t xml:space="preserve">article size </w:t>
      </w:r>
      <w:r w:rsidR="00E36740">
        <w:rPr>
          <w:lang w:eastAsia="zh-TW"/>
        </w:rPr>
        <w:t>of suspension under different ball milling time</w:t>
      </w:r>
    </w:p>
    <w:p w14:paraId="78863E9B" w14:textId="610A7DD7" w:rsidR="00DB20C9" w:rsidRDefault="00ED17B1" w:rsidP="00B6514C">
      <w:pPr>
        <w:pStyle w:val="2"/>
        <w:spacing w:line="480" w:lineRule="auto"/>
        <w:jc w:val="center"/>
        <w:rPr>
          <w:lang w:eastAsia="zh-TW"/>
        </w:rPr>
      </w:pPr>
      <w:r>
        <w:rPr>
          <w:noProof/>
          <w:lang w:eastAsia="zh-TW"/>
        </w:rPr>
        <w:lastRenderedPageBreak/>
        <w:drawing>
          <wp:inline distT="0" distB="0" distL="0" distR="0" wp14:anchorId="335B89AF" wp14:editId="136F038A">
            <wp:extent cx="4652907" cy="1897609"/>
            <wp:effectExtent l="0" t="0" r="0" b="762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4060" cy="1906236"/>
                    </a:xfrm>
                    <a:prstGeom prst="rect">
                      <a:avLst/>
                    </a:prstGeom>
                    <a:noFill/>
                  </pic:spPr>
                </pic:pic>
              </a:graphicData>
            </a:graphic>
          </wp:inline>
        </w:drawing>
      </w:r>
    </w:p>
    <w:p w14:paraId="5FDFDB10" w14:textId="53F6A5C2" w:rsidR="001E3049" w:rsidRDefault="00ED17B1" w:rsidP="00ED17B1">
      <w:pPr>
        <w:pStyle w:val="2"/>
        <w:spacing w:line="480" w:lineRule="auto"/>
        <w:jc w:val="center"/>
        <w:rPr>
          <w:lang w:eastAsia="zh-TW"/>
        </w:rPr>
      </w:pPr>
      <w:r>
        <w:rPr>
          <w:lang w:eastAsia="zh-TW"/>
        </w:rPr>
        <w:t>Figure 2. (a) UV-vis spectrum of ITO ink. (b) light emission range and intensity of IPL.</w:t>
      </w:r>
    </w:p>
    <w:p w14:paraId="191FB253" w14:textId="0B9FBAFD" w:rsidR="00DB20C9" w:rsidRDefault="00261FED" w:rsidP="00787647">
      <w:pPr>
        <w:pStyle w:val="2"/>
        <w:spacing w:line="480" w:lineRule="auto"/>
        <w:jc w:val="both"/>
        <w:rPr>
          <w:rFonts w:cs="Helvetica"/>
          <w:lang w:eastAsia="zh-TW"/>
        </w:rPr>
      </w:pPr>
      <w:r>
        <w:rPr>
          <w:lang w:eastAsia="zh-TW"/>
        </w:rPr>
        <w:t xml:space="preserve">For IPL sintering, </w:t>
      </w:r>
      <w:r w:rsidR="002940B3">
        <w:rPr>
          <w:lang w:eastAsia="zh-TW"/>
        </w:rPr>
        <w:t>pulse energy, pulse number and emission time interval</w:t>
      </w:r>
      <w:r w:rsidR="00DB20C9">
        <w:rPr>
          <w:lang w:eastAsia="zh-TW"/>
        </w:rPr>
        <w:t xml:space="preserve"> we</w:t>
      </w:r>
      <w:r w:rsidR="002940B3">
        <w:rPr>
          <w:lang w:eastAsia="zh-TW"/>
        </w:rPr>
        <w:t xml:space="preserve">re important parameters. When </w:t>
      </w:r>
      <w:r w:rsidR="002940B3">
        <w:rPr>
          <w:rFonts w:cs="Helvetica"/>
          <w:lang w:eastAsia="zh-TW"/>
        </w:rPr>
        <w:t xml:space="preserve">pulse energy </w:t>
      </w:r>
      <w:r w:rsidR="00DB20C9">
        <w:rPr>
          <w:rFonts w:cs="Helvetica"/>
          <w:lang w:eastAsia="zh-TW"/>
        </w:rPr>
        <w:t>wa</w:t>
      </w:r>
      <w:r w:rsidR="002940B3">
        <w:rPr>
          <w:rFonts w:cs="Helvetica"/>
          <w:lang w:eastAsia="zh-TW"/>
        </w:rPr>
        <w:t xml:space="preserve">s too large or </w:t>
      </w:r>
      <w:r w:rsidR="00DB20C9">
        <w:rPr>
          <w:rFonts w:cs="Helvetica"/>
          <w:lang w:eastAsia="zh-TW"/>
        </w:rPr>
        <w:t xml:space="preserve">emission interval was too short, the </w:t>
      </w:r>
      <w:r w:rsidR="00FC1BE4">
        <w:rPr>
          <w:rFonts w:cs="Helvetica"/>
          <w:lang w:eastAsia="zh-TW"/>
        </w:rPr>
        <w:t xml:space="preserve">ITO </w:t>
      </w:r>
      <w:r w:rsidR="00DB20C9">
        <w:rPr>
          <w:rFonts w:cs="Helvetica"/>
          <w:lang w:eastAsia="zh-TW"/>
        </w:rPr>
        <w:t>film</w:t>
      </w:r>
      <w:r w:rsidR="00C40ACD">
        <w:rPr>
          <w:rFonts w:cs="Helvetica"/>
          <w:lang w:eastAsia="zh-TW"/>
        </w:rPr>
        <w:t>s</w:t>
      </w:r>
      <w:r w:rsidR="00DB20C9">
        <w:rPr>
          <w:rFonts w:cs="Helvetica"/>
          <w:lang w:eastAsia="zh-TW"/>
        </w:rPr>
        <w:t xml:space="preserve"> </w:t>
      </w:r>
      <w:r w:rsidR="00FC1BE4">
        <w:rPr>
          <w:rFonts w:cs="Helvetica"/>
          <w:lang w:eastAsia="zh-TW"/>
        </w:rPr>
        <w:t xml:space="preserve">could </w:t>
      </w:r>
      <w:r w:rsidR="00DB20C9">
        <w:rPr>
          <w:rFonts w:cs="Helvetica"/>
          <w:lang w:eastAsia="zh-TW"/>
        </w:rPr>
        <w:t xml:space="preserve">not tolerate high temperature and would be charred. However, if pulse energy was not enough or emission interval was too long, the ITO films could not increase temperature for sintering process. In our experiment, </w:t>
      </w:r>
      <w:r w:rsidR="00DB20C9">
        <w:rPr>
          <w:lang w:eastAsia="zh-TW"/>
        </w:rPr>
        <w:t>t</w:t>
      </w:r>
      <w:r w:rsidR="00DB20C9" w:rsidRPr="001D700A">
        <w:rPr>
          <w:lang w:eastAsia="zh-TW"/>
        </w:rPr>
        <w:t>he best parameter for sintering was 1000 J divided into four small peaks (250 J each) repeated for four times pulses with 3</w:t>
      </w:r>
      <w:r w:rsidR="00DB20C9">
        <w:rPr>
          <w:lang w:eastAsia="zh-TW"/>
        </w:rPr>
        <w:t>000</w:t>
      </w:r>
      <w:r w:rsidR="00DB20C9" w:rsidRPr="001D700A">
        <w:rPr>
          <w:lang w:eastAsia="zh-TW"/>
        </w:rPr>
        <w:t xml:space="preserve"> </w:t>
      </w:r>
      <w:proofErr w:type="spellStart"/>
      <w:r w:rsidR="00DB20C9">
        <w:rPr>
          <w:lang w:eastAsia="zh-TW"/>
        </w:rPr>
        <w:t>m</w:t>
      </w:r>
      <w:r w:rsidR="00DB20C9" w:rsidRPr="001D700A">
        <w:rPr>
          <w:lang w:eastAsia="zh-TW"/>
        </w:rPr>
        <w:t>s</w:t>
      </w:r>
      <w:proofErr w:type="spellEnd"/>
      <w:r w:rsidR="00DB20C9" w:rsidRPr="001D700A">
        <w:rPr>
          <w:lang w:eastAsia="zh-TW"/>
        </w:rPr>
        <w:t xml:space="preserve"> time interval</w:t>
      </w:r>
      <w:r w:rsidR="00ED17B1">
        <w:rPr>
          <w:lang w:eastAsia="zh-TW"/>
        </w:rPr>
        <w:t xml:space="preserve"> as shown in Fig</w:t>
      </w:r>
      <w:r w:rsidR="00624EFB">
        <w:rPr>
          <w:lang w:eastAsia="zh-TW"/>
        </w:rPr>
        <w:t xml:space="preserve"> 3</w:t>
      </w:r>
      <w:r w:rsidR="00DB20C9" w:rsidRPr="001D700A">
        <w:rPr>
          <w:lang w:eastAsia="zh-TW"/>
        </w:rPr>
        <w:t>.</w:t>
      </w:r>
      <w:r w:rsidR="006532EC">
        <w:rPr>
          <w:lang w:eastAsia="zh-TW"/>
        </w:rPr>
        <w:t xml:space="preserve"> The sheet resistance of ITO film could reach </w:t>
      </w:r>
      <w:r w:rsidR="006532EC" w:rsidRPr="001D700A">
        <w:rPr>
          <w:lang w:eastAsia="zh-TW"/>
        </w:rPr>
        <w:t>500 Ω/</w:t>
      </w:r>
      <w:r w:rsidR="006532EC">
        <w:rPr>
          <w:rFonts w:cs="Helvetica"/>
          <w:lang w:eastAsia="zh-TW"/>
        </w:rPr>
        <w:t>□ after IPL treatment.</w:t>
      </w:r>
    </w:p>
    <w:p w14:paraId="004CB531" w14:textId="2FFF6095" w:rsidR="001E3049" w:rsidRDefault="00DB20C9" w:rsidP="001E3049">
      <w:pPr>
        <w:pStyle w:val="2"/>
        <w:spacing w:line="480" w:lineRule="auto"/>
        <w:jc w:val="center"/>
        <w:rPr>
          <w:rFonts w:cs="Helvetica"/>
          <w:lang w:eastAsia="zh-TW"/>
        </w:rPr>
      </w:pPr>
      <w:r>
        <w:rPr>
          <w:rFonts w:cs="Helvetica"/>
          <w:noProof/>
          <w:lang w:eastAsia="zh-TW"/>
        </w:rPr>
        <w:drawing>
          <wp:inline distT="0" distB="0" distL="0" distR="0" wp14:anchorId="278BE282" wp14:editId="4E682320">
            <wp:extent cx="3125761" cy="103961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5390" cy="1059443"/>
                    </a:xfrm>
                    <a:prstGeom prst="rect">
                      <a:avLst/>
                    </a:prstGeom>
                    <a:noFill/>
                  </pic:spPr>
                </pic:pic>
              </a:graphicData>
            </a:graphic>
          </wp:inline>
        </w:drawing>
      </w:r>
    </w:p>
    <w:p w14:paraId="73290EDD" w14:textId="27A3E884" w:rsidR="00624EFB" w:rsidRDefault="00624EFB" w:rsidP="001E3049">
      <w:pPr>
        <w:pStyle w:val="2"/>
        <w:spacing w:line="480" w:lineRule="auto"/>
        <w:jc w:val="center"/>
        <w:rPr>
          <w:rFonts w:cs="Helvetica"/>
          <w:lang w:eastAsia="zh-TW"/>
        </w:rPr>
      </w:pPr>
      <w:r>
        <w:rPr>
          <w:rFonts w:cs="Helvetica" w:hint="eastAsia"/>
          <w:lang w:eastAsia="zh-TW"/>
        </w:rPr>
        <w:t>F</w:t>
      </w:r>
      <w:r>
        <w:rPr>
          <w:rFonts w:cs="Helvetica"/>
          <w:lang w:eastAsia="zh-TW"/>
        </w:rPr>
        <w:t>igure 3. Scheme of IPL sintering parameter.</w:t>
      </w:r>
    </w:p>
    <w:p w14:paraId="66A4EC0F" w14:textId="5C05D8FF" w:rsidR="001E3049" w:rsidRDefault="00AA256F" w:rsidP="00787647">
      <w:pPr>
        <w:pStyle w:val="2"/>
        <w:spacing w:line="480" w:lineRule="auto"/>
        <w:jc w:val="both"/>
        <w:rPr>
          <w:rFonts w:cs="Helvetica"/>
          <w:lang w:eastAsia="zh-TW"/>
        </w:rPr>
      </w:pPr>
      <w:r>
        <w:rPr>
          <w:rFonts w:cs="Helvetica"/>
          <w:lang w:eastAsia="zh-TW"/>
        </w:rPr>
        <w:t>SEM image</w:t>
      </w:r>
      <w:r w:rsidR="00A7560B">
        <w:rPr>
          <w:rFonts w:cs="Helvetica"/>
          <w:lang w:eastAsia="zh-TW"/>
        </w:rPr>
        <w:t>s</w:t>
      </w:r>
      <w:r>
        <w:rPr>
          <w:rFonts w:cs="Helvetica"/>
          <w:lang w:eastAsia="zh-TW"/>
        </w:rPr>
        <w:t xml:space="preserve"> w</w:t>
      </w:r>
      <w:r w:rsidR="00A7560B">
        <w:rPr>
          <w:rFonts w:cs="Helvetica"/>
          <w:lang w:eastAsia="zh-TW"/>
        </w:rPr>
        <w:t>ere</w:t>
      </w:r>
      <w:r>
        <w:rPr>
          <w:rFonts w:cs="Helvetica"/>
          <w:lang w:eastAsia="zh-TW"/>
        </w:rPr>
        <w:t xml:space="preserve"> also shown in Fig </w:t>
      </w:r>
      <w:r w:rsidR="004D3C87">
        <w:rPr>
          <w:rFonts w:cs="Helvetica"/>
          <w:lang w:eastAsia="zh-TW"/>
        </w:rPr>
        <w:t>4</w:t>
      </w:r>
      <w:r w:rsidR="001C0193">
        <w:rPr>
          <w:rFonts w:cs="Helvetica"/>
          <w:lang w:eastAsia="zh-TW"/>
        </w:rPr>
        <w:t>.</w:t>
      </w:r>
      <w:r>
        <w:rPr>
          <w:rFonts w:cs="Helvetica"/>
          <w:lang w:eastAsia="zh-TW"/>
        </w:rPr>
        <w:t>, we could observe that the necking gr</w:t>
      </w:r>
      <w:r w:rsidR="00E34D83">
        <w:rPr>
          <w:rFonts w:cs="Helvetica"/>
          <w:lang w:eastAsia="zh-TW"/>
        </w:rPr>
        <w:t xml:space="preserve">ew </w:t>
      </w:r>
      <w:r>
        <w:rPr>
          <w:rFonts w:cs="Helvetica"/>
          <w:lang w:eastAsia="zh-TW"/>
        </w:rPr>
        <w:t xml:space="preserve">between ITO nanoparticles and </w:t>
      </w:r>
      <w:r w:rsidR="000475EE">
        <w:rPr>
          <w:rFonts w:cs="Helvetica"/>
          <w:lang w:eastAsia="zh-TW"/>
        </w:rPr>
        <w:t>enha</w:t>
      </w:r>
      <w:r w:rsidR="00F36ACD">
        <w:rPr>
          <w:rFonts w:cs="Helvetica"/>
          <w:lang w:eastAsia="zh-TW"/>
        </w:rPr>
        <w:t>nce the packing</w:t>
      </w:r>
      <w:r w:rsidR="00C40ACD">
        <w:rPr>
          <w:rFonts w:cs="Helvetica"/>
          <w:lang w:eastAsia="zh-TW"/>
        </w:rPr>
        <w:t xml:space="preserve"> of nanoparticles</w:t>
      </w:r>
      <w:r w:rsidR="00F36ACD">
        <w:rPr>
          <w:rFonts w:cs="Helvetica"/>
          <w:lang w:eastAsia="zh-TW"/>
        </w:rPr>
        <w:t xml:space="preserve"> to further increase ITO film conductivity. </w:t>
      </w:r>
      <w:r w:rsidR="00286388">
        <w:rPr>
          <w:rFonts w:cs="Helvetica"/>
          <w:lang w:eastAsia="zh-TW"/>
        </w:rPr>
        <w:t xml:space="preserve">The image of ITO </w:t>
      </w:r>
      <w:r w:rsidR="0000094A">
        <w:rPr>
          <w:rFonts w:cs="Helvetica"/>
          <w:lang w:eastAsia="zh-TW"/>
        </w:rPr>
        <w:t xml:space="preserve">film was shown in Fig 5., the film was transparent enough to show the word behind. </w:t>
      </w:r>
      <w:r w:rsidR="00F36ACD">
        <w:rPr>
          <w:rFonts w:cs="Helvetica"/>
          <w:lang w:eastAsia="zh-TW"/>
        </w:rPr>
        <w:t>Transparency of as-prepared film was evaluated by UV-Vis spectrum as shown in Fig</w:t>
      </w:r>
      <w:r w:rsidR="001E3049">
        <w:rPr>
          <w:rFonts w:cs="Helvetica"/>
          <w:lang w:eastAsia="zh-TW"/>
        </w:rPr>
        <w:t xml:space="preserve"> </w:t>
      </w:r>
      <w:r w:rsidR="00471BD2">
        <w:rPr>
          <w:rFonts w:cs="Helvetica"/>
          <w:lang w:eastAsia="zh-TW"/>
        </w:rPr>
        <w:t>6</w:t>
      </w:r>
      <w:r w:rsidR="00F36ACD">
        <w:rPr>
          <w:rFonts w:cs="Helvetica"/>
          <w:lang w:eastAsia="zh-TW"/>
        </w:rPr>
        <w:t xml:space="preserve">. After coated with ITO, light transmission of the ITO-PET film only showed slight </w:t>
      </w:r>
      <w:r w:rsidR="006532EC">
        <w:rPr>
          <w:rFonts w:cs="Helvetica"/>
          <w:lang w:eastAsia="zh-TW"/>
        </w:rPr>
        <w:t>decrease</w:t>
      </w:r>
      <w:r w:rsidR="00F36ACD">
        <w:rPr>
          <w:rFonts w:cs="Helvetica"/>
          <w:lang w:eastAsia="zh-TW"/>
        </w:rPr>
        <w:t xml:space="preserve">, but still larger than 90%, indicating good transparency of ITO-PET. </w:t>
      </w:r>
    </w:p>
    <w:p w14:paraId="436E5FCE" w14:textId="0F3A6999" w:rsidR="001E3049" w:rsidRDefault="00D5509C" w:rsidP="001E3049">
      <w:pPr>
        <w:pStyle w:val="2"/>
        <w:spacing w:line="480" w:lineRule="auto"/>
        <w:jc w:val="center"/>
        <w:rPr>
          <w:rFonts w:cs="Helvetica"/>
          <w:lang w:eastAsia="zh-TW"/>
        </w:rPr>
      </w:pPr>
      <w:r>
        <w:rPr>
          <w:rFonts w:cs="Helvetica"/>
          <w:noProof/>
          <w:lang w:eastAsia="zh-TW"/>
        </w:rPr>
        <w:lastRenderedPageBreak/>
        <w:drawing>
          <wp:inline distT="0" distB="0" distL="0" distR="0" wp14:anchorId="3C1EC8E8" wp14:editId="44B959B7">
            <wp:extent cx="2803010" cy="2436833"/>
            <wp:effectExtent l="0" t="0" r="0" b="190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0205" cy="2451782"/>
                    </a:xfrm>
                    <a:prstGeom prst="rect">
                      <a:avLst/>
                    </a:prstGeom>
                    <a:noFill/>
                  </pic:spPr>
                </pic:pic>
              </a:graphicData>
            </a:graphic>
          </wp:inline>
        </w:drawing>
      </w:r>
    </w:p>
    <w:p w14:paraId="46F8E3F3" w14:textId="0819E60D" w:rsidR="001E3049" w:rsidRDefault="001E3049" w:rsidP="001E3049">
      <w:pPr>
        <w:pStyle w:val="2"/>
        <w:spacing w:line="480" w:lineRule="auto"/>
        <w:jc w:val="center"/>
        <w:rPr>
          <w:rFonts w:cs="Helvetica"/>
          <w:lang w:eastAsia="zh-TW"/>
        </w:rPr>
      </w:pPr>
      <w:r>
        <w:rPr>
          <w:rFonts w:cs="Helvetica" w:hint="eastAsia"/>
          <w:lang w:eastAsia="zh-TW"/>
        </w:rPr>
        <w:t>F</w:t>
      </w:r>
      <w:r>
        <w:rPr>
          <w:rFonts w:cs="Helvetica"/>
          <w:lang w:eastAsia="zh-TW"/>
        </w:rPr>
        <w:t xml:space="preserve">igure </w:t>
      </w:r>
      <w:r w:rsidR="004D3C87">
        <w:rPr>
          <w:rFonts w:cs="Helvetica"/>
          <w:lang w:eastAsia="zh-TW"/>
        </w:rPr>
        <w:t>4</w:t>
      </w:r>
      <w:r w:rsidR="001C0193">
        <w:rPr>
          <w:rFonts w:cs="Helvetica"/>
          <w:lang w:eastAsia="zh-TW"/>
        </w:rPr>
        <w:t xml:space="preserve">. </w:t>
      </w:r>
      <w:r w:rsidR="006532EC">
        <w:rPr>
          <w:rFonts w:cs="Helvetica"/>
          <w:lang w:eastAsia="zh-TW"/>
        </w:rPr>
        <w:t xml:space="preserve">Top-view </w:t>
      </w:r>
      <w:r w:rsidR="001C0193">
        <w:rPr>
          <w:rFonts w:cs="Helvetica"/>
          <w:lang w:eastAsia="zh-TW"/>
        </w:rPr>
        <w:t>SEM image</w:t>
      </w:r>
      <w:r w:rsidR="006532EC">
        <w:rPr>
          <w:rFonts w:cs="Helvetica"/>
          <w:lang w:eastAsia="zh-TW"/>
        </w:rPr>
        <w:t>s</w:t>
      </w:r>
      <w:r w:rsidR="001C0193">
        <w:rPr>
          <w:rFonts w:cs="Helvetica"/>
          <w:lang w:eastAsia="zh-TW"/>
        </w:rPr>
        <w:t xml:space="preserve"> of ITO film (a) before (b) after IPL treatment</w:t>
      </w:r>
      <w:r w:rsidR="006532EC">
        <w:rPr>
          <w:rFonts w:cs="Helvetica"/>
          <w:lang w:eastAsia="zh-TW"/>
        </w:rPr>
        <w:t xml:space="preserve"> and side-view SEM images of TO film (a) before (b) after IPL treatment.</w:t>
      </w:r>
    </w:p>
    <w:p w14:paraId="649B3E63" w14:textId="67B7089E" w:rsidR="0000094A" w:rsidRDefault="00471BD2" w:rsidP="001E3049">
      <w:pPr>
        <w:pStyle w:val="2"/>
        <w:spacing w:line="480" w:lineRule="auto"/>
        <w:jc w:val="center"/>
        <w:rPr>
          <w:rFonts w:cs="Helvetica"/>
          <w:lang w:eastAsia="zh-TW"/>
        </w:rPr>
      </w:pPr>
      <w:r w:rsidRPr="00471BD2">
        <w:rPr>
          <w:rFonts w:cs="Helvetica"/>
          <w:lang w:eastAsia="zh-TW"/>
        </w:rPr>
        <w:drawing>
          <wp:inline distT="0" distB="0" distL="0" distR="0" wp14:anchorId="73D27EBF" wp14:editId="46C9E4EB">
            <wp:extent cx="1638300" cy="1529443"/>
            <wp:effectExtent l="0" t="0" r="0" b="0"/>
            <wp:docPr id="1" name="圖片 6">
              <a:extLst xmlns:a="http://schemas.openxmlformats.org/drawingml/2006/main">
                <a:ext uri="{FF2B5EF4-FFF2-40B4-BE49-F238E27FC236}">
                  <a16:creationId xmlns:a16="http://schemas.microsoft.com/office/drawing/2014/main" id="{464174BA-75AE-48DE-8885-D28C9312E12F}"/>
                </a:ext>
              </a:extLst>
            </wp:docPr>
            <wp:cNvGraphicFramePr/>
            <a:graphic xmlns:a="http://schemas.openxmlformats.org/drawingml/2006/main">
              <a:graphicData uri="http://schemas.openxmlformats.org/drawingml/2006/picture">
                <pic:pic xmlns:pic="http://schemas.openxmlformats.org/drawingml/2006/picture">
                  <pic:nvPicPr>
                    <pic:cNvPr id="7" name="圖片 6">
                      <a:extLst>
                        <a:ext uri="{FF2B5EF4-FFF2-40B4-BE49-F238E27FC236}">
                          <a16:creationId xmlns:a16="http://schemas.microsoft.com/office/drawing/2014/main" id="{464174BA-75AE-48DE-8885-D28C9312E12F}"/>
                        </a:ext>
                      </a:extLst>
                    </pic:cNvPr>
                    <pic:cNvPicPr/>
                  </pic:nvPicPr>
                  <pic:blipFill rotWithShape="1">
                    <a:blip r:embed="rId13">
                      <a:extLst>
                        <a:ext uri="{BEBA8EAE-BF5A-486C-A8C5-ECC9F3942E4B}">
                          <a14:imgProps xmlns:a14="http://schemas.microsoft.com/office/drawing/2010/main">
                            <a14:imgLayer r:embed="rId14">
                              <a14:imgEffect>
                                <a14:brightnessContrast contrast="20000"/>
                              </a14:imgEffect>
                            </a14:imgLayer>
                          </a14:imgProps>
                        </a:ext>
                      </a:extLst>
                    </a:blip>
                    <a:srcRect l="32978" t="26774" r="33698" b="27633"/>
                    <a:stretch/>
                  </pic:blipFill>
                  <pic:spPr bwMode="auto">
                    <a:xfrm>
                      <a:off x="0" y="0"/>
                      <a:ext cx="1640697" cy="1531681"/>
                    </a:xfrm>
                    <a:prstGeom prst="rect">
                      <a:avLst/>
                    </a:prstGeom>
                    <a:ln>
                      <a:noFill/>
                    </a:ln>
                    <a:extLst>
                      <a:ext uri="{53640926-AAD7-44D8-BBD7-CCE9431645EC}">
                        <a14:shadowObscured xmlns:a14="http://schemas.microsoft.com/office/drawing/2010/main"/>
                      </a:ext>
                    </a:extLst>
                  </pic:spPr>
                </pic:pic>
              </a:graphicData>
            </a:graphic>
          </wp:inline>
        </w:drawing>
      </w:r>
    </w:p>
    <w:p w14:paraId="6FAF710B" w14:textId="281F9B52" w:rsidR="0000094A" w:rsidRDefault="0000094A" w:rsidP="001E3049">
      <w:pPr>
        <w:pStyle w:val="2"/>
        <w:spacing w:line="480" w:lineRule="auto"/>
        <w:jc w:val="center"/>
        <w:rPr>
          <w:rFonts w:cs="Helvetica" w:hint="eastAsia"/>
          <w:lang w:eastAsia="zh-TW"/>
        </w:rPr>
      </w:pPr>
      <w:r>
        <w:rPr>
          <w:rFonts w:cs="Helvetica" w:hint="eastAsia"/>
          <w:lang w:eastAsia="zh-TW"/>
        </w:rPr>
        <w:t>F</w:t>
      </w:r>
      <w:r>
        <w:rPr>
          <w:rFonts w:cs="Helvetica"/>
          <w:lang w:eastAsia="zh-TW"/>
        </w:rPr>
        <w:t xml:space="preserve">igure 5. Image of as-prepared </w:t>
      </w:r>
      <w:r w:rsidR="00471BD2">
        <w:rPr>
          <w:rFonts w:cs="Helvetica"/>
          <w:lang w:eastAsia="zh-TW"/>
        </w:rPr>
        <w:t>ITO film.</w:t>
      </w:r>
    </w:p>
    <w:p w14:paraId="6F1AD73C" w14:textId="4444DF6E" w:rsidR="001E3049" w:rsidRDefault="008C385E" w:rsidP="001E3049">
      <w:pPr>
        <w:pStyle w:val="2"/>
        <w:spacing w:line="480" w:lineRule="auto"/>
        <w:jc w:val="center"/>
        <w:rPr>
          <w:rFonts w:cs="Helvetica"/>
          <w:lang w:eastAsia="zh-TW"/>
        </w:rPr>
      </w:pPr>
      <w:r w:rsidRPr="008C385E">
        <w:rPr>
          <w:rFonts w:cs="Helvetica"/>
          <w:lang w:eastAsia="zh-TW"/>
        </w:rPr>
        <w:drawing>
          <wp:inline distT="0" distB="0" distL="0" distR="0" wp14:anchorId="213C5C66" wp14:editId="6D5E4986">
            <wp:extent cx="3319363" cy="2566307"/>
            <wp:effectExtent l="0" t="0" r="0" b="0"/>
            <wp:docPr id="4" name="圖片 3">
              <a:extLst xmlns:a="http://schemas.openxmlformats.org/drawingml/2006/main">
                <a:ext uri="{FF2B5EF4-FFF2-40B4-BE49-F238E27FC236}">
                  <a16:creationId xmlns:a16="http://schemas.microsoft.com/office/drawing/2014/main" id="{283811A4-6390-470A-88F8-1744A0A6C1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a:extLst>
                        <a:ext uri="{FF2B5EF4-FFF2-40B4-BE49-F238E27FC236}">
                          <a16:creationId xmlns:a16="http://schemas.microsoft.com/office/drawing/2014/main" id="{283811A4-6390-470A-88F8-1744A0A6C14A}"/>
                        </a:ext>
                      </a:extLst>
                    </pic:cNvPr>
                    <pic:cNvPicPr>
                      <a:picLocks noChangeAspect="1"/>
                    </pic:cNvPicPr>
                  </pic:nvPicPr>
                  <pic:blipFill rotWithShape="1">
                    <a:blip r:embed="rId15"/>
                    <a:srcRect r="24315" b="16259"/>
                    <a:stretch/>
                  </pic:blipFill>
                  <pic:spPr>
                    <a:xfrm>
                      <a:off x="0" y="0"/>
                      <a:ext cx="3320830" cy="2567441"/>
                    </a:xfrm>
                    <a:prstGeom prst="rect">
                      <a:avLst/>
                    </a:prstGeom>
                  </pic:spPr>
                </pic:pic>
              </a:graphicData>
            </a:graphic>
          </wp:inline>
        </w:drawing>
      </w:r>
    </w:p>
    <w:p w14:paraId="6A7B686D" w14:textId="499C07AF" w:rsidR="00286388" w:rsidRDefault="001E3049" w:rsidP="00286388">
      <w:pPr>
        <w:pStyle w:val="2"/>
        <w:spacing w:line="480" w:lineRule="auto"/>
        <w:jc w:val="center"/>
        <w:rPr>
          <w:rFonts w:cs="Helvetica" w:hint="eastAsia"/>
          <w:lang w:eastAsia="zh-TW"/>
        </w:rPr>
      </w:pPr>
      <w:r>
        <w:rPr>
          <w:rFonts w:cs="Helvetica" w:hint="eastAsia"/>
          <w:lang w:eastAsia="zh-TW"/>
        </w:rPr>
        <w:t>F</w:t>
      </w:r>
      <w:r>
        <w:rPr>
          <w:rFonts w:cs="Helvetica"/>
          <w:lang w:eastAsia="zh-TW"/>
        </w:rPr>
        <w:t xml:space="preserve">igure </w:t>
      </w:r>
      <w:r w:rsidR="00471BD2">
        <w:rPr>
          <w:rFonts w:cs="Helvetica"/>
          <w:lang w:eastAsia="zh-TW"/>
        </w:rPr>
        <w:t>6</w:t>
      </w:r>
      <w:r w:rsidR="001C0193">
        <w:rPr>
          <w:rFonts w:cs="Helvetica"/>
          <w:lang w:eastAsia="zh-TW"/>
        </w:rPr>
        <w:t>. Light transmission of ITO film</w:t>
      </w:r>
      <w:r w:rsidR="00286388">
        <w:rPr>
          <w:rFonts w:cs="Helvetica"/>
          <w:lang w:eastAsia="zh-TW"/>
        </w:rPr>
        <w:t xml:space="preserve"> in visible light region.</w:t>
      </w:r>
    </w:p>
    <w:p w14:paraId="09186B09" w14:textId="105B36D6" w:rsidR="00787647" w:rsidRDefault="00DC380B" w:rsidP="001E3049">
      <w:pPr>
        <w:pStyle w:val="2"/>
        <w:spacing w:line="480" w:lineRule="auto"/>
        <w:jc w:val="both"/>
        <w:rPr>
          <w:lang w:eastAsia="zh-TW"/>
        </w:rPr>
      </w:pPr>
      <w:r>
        <w:rPr>
          <w:rFonts w:cs="Helvetica"/>
          <w:lang w:eastAsia="zh-TW"/>
        </w:rPr>
        <w:lastRenderedPageBreak/>
        <w:t xml:space="preserve">Figure of merit (FOM) </w:t>
      </w:r>
      <w:r w:rsidR="00A7560B">
        <w:rPr>
          <w:rFonts w:cs="Helvetica"/>
          <w:lang w:eastAsia="zh-TW"/>
        </w:rPr>
        <w:t>wa</w:t>
      </w:r>
      <w:r>
        <w:rPr>
          <w:rFonts w:cs="Helvetica"/>
          <w:lang w:eastAsia="zh-TW"/>
        </w:rPr>
        <w:t>s a</w:t>
      </w:r>
      <w:r w:rsidR="001E3049">
        <w:rPr>
          <w:rFonts w:cs="Helvetica"/>
          <w:lang w:eastAsia="zh-TW"/>
        </w:rPr>
        <w:t>n</w:t>
      </w:r>
      <w:r>
        <w:rPr>
          <w:rFonts w:cs="Helvetica"/>
          <w:lang w:eastAsia="zh-TW"/>
        </w:rPr>
        <w:t xml:space="preserve"> index to evaluate transparent conductive, the definition of FOM was as below</w:t>
      </w:r>
      <w:r w:rsidR="00787647">
        <w:rPr>
          <w:rFonts w:cs="Helvetica"/>
          <w:lang w:eastAsia="zh-TW"/>
        </w:rPr>
        <w:t xml:space="preserve">, </w:t>
      </w:r>
      <w:r w:rsidR="00787647">
        <w:rPr>
          <w:lang w:eastAsia="zh-TW"/>
        </w:rPr>
        <w:t>where T referred to transmittance and R</w:t>
      </w:r>
      <w:r w:rsidR="00787647">
        <w:rPr>
          <w:vertAlign w:val="subscript"/>
          <w:lang w:eastAsia="zh-TW"/>
        </w:rPr>
        <w:t xml:space="preserve">S </w:t>
      </w:r>
      <w:r w:rsidR="00787647">
        <w:rPr>
          <w:lang w:eastAsia="zh-TW"/>
        </w:rPr>
        <w:t>referred to sheet resistance.</w:t>
      </w:r>
    </w:p>
    <w:p w14:paraId="20A0B7B5" w14:textId="2798D7F2" w:rsidR="00773750" w:rsidRDefault="00773750" w:rsidP="006A626F">
      <w:pPr>
        <w:pStyle w:val="2"/>
        <w:spacing w:line="480" w:lineRule="auto"/>
        <w:jc w:val="both"/>
        <w:rPr>
          <w:rFonts w:cs="Helvetica"/>
          <w:lang w:eastAsia="zh-TW"/>
        </w:rPr>
      </w:pPr>
    </w:p>
    <w:p w14:paraId="2DA13203" w14:textId="6CAC6827" w:rsidR="00DC380B" w:rsidRPr="00DC380B" w:rsidRDefault="00FB0D3A" w:rsidP="006A626F">
      <w:pPr>
        <w:pStyle w:val="2"/>
        <w:spacing w:line="480" w:lineRule="auto"/>
        <w:jc w:val="both"/>
        <w:rPr>
          <w:iCs/>
          <w:vertAlign w:val="subscript"/>
          <w:lang w:eastAsia="zh-TW"/>
        </w:rPr>
      </w:pPr>
      <m:oMathPara>
        <m:oMath>
          <m:sSub>
            <m:sSubPr>
              <m:ctrlPr>
                <w:rPr>
                  <w:rFonts w:ascii="Cambria Math" w:hAnsi="Cambria Math"/>
                  <w:i/>
                  <w:iCs/>
                  <w:vertAlign w:val="subscript"/>
                  <w:lang w:val="az-Cyrl-AZ" w:eastAsia="zh-TW"/>
                </w:rPr>
              </m:ctrlPr>
            </m:sSubPr>
            <m:e>
              <m:r>
                <w:rPr>
                  <w:rFonts w:ascii="Cambria Math" w:hAnsi="Cambria Math"/>
                  <w:vertAlign w:val="subscript"/>
                  <w:lang w:val="az-Cyrl-AZ" w:eastAsia="zh-TW"/>
                </w:rPr>
                <m:t>Ф</m:t>
              </m:r>
            </m:e>
            <m:sub>
              <m:r>
                <w:rPr>
                  <w:rFonts w:ascii="Cambria Math" w:hAnsi="Cambria Math"/>
                  <w:vertAlign w:val="subscript"/>
                  <w:lang w:eastAsia="zh-TW"/>
                </w:rPr>
                <m:t>H </m:t>
              </m:r>
            </m:sub>
          </m:sSub>
          <m:r>
            <w:rPr>
              <w:rFonts w:ascii="Cambria Math" w:hAnsi="Cambria Math"/>
              <w:vertAlign w:val="subscript"/>
              <w:lang w:eastAsia="zh-TW"/>
            </w:rPr>
            <m:t>(</m:t>
          </m:r>
          <m:r>
            <m:rPr>
              <m:sty m:val="p"/>
            </m:rPr>
            <w:rPr>
              <w:rFonts w:ascii="Cambria Math" w:hAnsi="Cambria Math"/>
              <w:vertAlign w:val="subscript"/>
              <w:lang w:eastAsia="zh-TW"/>
            </w:rPr>
            <m:t>FOM)=</m:t>
          </m:r>
          <m:f>
            <m:fPr>
              <m:ctrlPr>
                <w:rPr>
                  <w:rFonts w:ascii="Cambria Math" w:hAnsi="Cambria Math"/>
                  <w:i/>
                  <w:iCs/>
                  <w:vertAlign w:val="subscript"/>
                  <w:lang w:eastAsia="zh-TW"/>
                </w:rPr>
              </m:ctrlPr>
            </m:fPr>
            <m:num>
              <m:sSup>
                <m:sSupPr>
                  <m:ctrlPr>
                    <w:rPr>
                      <w:rFonts w:ascii="Cambria Math" w:hAnsi="Cambria Math"/>
                      <w:i/>
                      <w:iCs/>
                      <w:vertAlign w:val="subscript"/>
                      <w:lang w:eastAsia="zh-TW"/>
                    </w:rPr>
                  </m:ctrlPr>
                </m:sSupPr>
                <m:e>
                  <m:r>
                    <w:rPr>
                      <w:rFonts w:ascii="Cambria Math" w:hAnsi="Cambria Math"/>
                      <w:vertAlign w:val="subscript"/>
                      <w:lang w:eastAsia="zh-TW"/>
                    </w:rPr>
                    <m:t>T</m:t>
                  </m:r>
                </m:e>
                <m:sup>
                  <m:r>
                    <w:rPr>
                      <w:rFonts w:ascii="Cambria Math" w:hAnsi="Cambria Math"/>
                      <w:vertAlign w:val="subscript"/>
                      <w:lang w:eastAsia="zh-TW"/>
                    </w:rPr>
                    <m:t>10</m:t>
                  </m:r>
                </m:sup>
              </m:sSup>
            </m:num>
            <m:den>
              <m:sSub>
                <m:sSubPr>
                  <m:ctrlPr>
                    <w:rPr>
                      <w:rFonts w:ascii="Cambria Math" w:hAnsi="Cambria Math"/>
                      <w:i/>
                      <w:iCs/>
                      <w:vertAlign w:val="subscript"/>
                      <w:lang w:eastAsia="zh-TW"/>
                    </w:rPr>
                  </m:ctrlPr>
                </m:sSubPr>
                <m:e>
                  <m:r>
                    <w:rPr>
                      <w:rFonts w:ascii="Cambria Math" w:hAnsi="Cambria Math"/>
                      <w:vertAlign w:val="subscript"/>
                      <w:lang w:eastAsia="zh-TW"/>
                    </w:rPr>
                    <m:t>R</m:t>
                  </m:r>
                </m:e>
                <m:sub>
                  <m:r>
                    <w:rPr>
                      <w:rFonts w:ascii="Cambria Math" w:hAnsi="Cambria Math"/>
                      <w:vertAlign w:val="subscript"/>
                      <w:lang w:eastAsia="zh-TW"/>
                    </w:rPr>
                    <m:t>S</m:t>
                  </m:r>
                </m:sub>
              </m:sSub>
            </m:den>
          </m:f>
        </m:oMath>
      </m:oMathPara>
    </w:p>
    <w:p w14:paraId="1E22CBED" w14:textId="3C5F27A5" w:rsidR="00787647" w:rsidRDefault="00787647" w:rsidP="006A626F">
      <w:pPr>
        <w:pStyle w:val="2"/>
        <w:spacing w:line="480" w:lineRule="auto"/>
        <w:jc w:val="both"/>
        <w:rPr>
          <w:lang w:eastAsia="zh-TW"/>
        </w:rPr>
      </w:pPr>
    </w:p>
    <w:p w14:paraId="62C8E6A7" w14:textId="4F466D92" w:rsidR="00410E4C" w:rsidRDefault="00B16BB8" w:rsidP="006A626F">
      <w:pPr>
        <w:pStyle w:val="2"/>
        <w:spacing w:line="480" w:lineRule="auto"/>
        <w:jc w:val="both"/>
        <w:rPr>
          <w:lang w:eastAsia="zh-TW"/>
        </w:rPr>
      </w:pPr>
      <w:r>
        <w:rPr>
          <w:rFonts w:hint="eastAsia"/>
          <w:lang w:eastAsia="zh-TW"/>
        </w:rPr>
        <w:t>W</w:t>
      </w:r>
      <w:r>
        <w:rPr>
          <w:lang w:eastAsia="zh-TW"/>
        </w:rPr>
        <w:t>hen FOM</w:t>
      </w:r>
      <w:r>
        <w:rPr>
          <w:rFonts w:hint="eastAsia"/>
          <w:lang w:eastAsia="zh-TW"/>
        </w:rPr>
        <w:t xml:space="preserve"> </w:t>
      </w:r>
      <w:r>
        <w:rPr>
          <w:lang w:eastAsia="zh-TW"/>
        </w:rPr>
        <w:t>larger, indicating ITO film has higher transparency and lower sheet resistance. The FOM value of ITO-PET</w:t>
      </w:r>
      <w:r>
        <w:rPr>
          <w:rFonts w:hint="eastAsia"/>
          <w:lang w:eastAsia="zh-TW"/>
        </w:rPr>
        <w:t xml:space="preserve"> </w:t>
      </w:r>
      <w:r>
        <w:rPr>
          <w:lang w:eastAsia="zh-TW"/>
        </w:rPr>
        <w:t xml:space="preserve">formed by blade coating solution-based process was 0.12, which is comparable with other </w:t>
      </w:r>
      <w:r w:rsidR="00CC1035">
        <w:rPr>
          <w:lang w:eastAsia="zh-TW"/>
        </w:rPr>
        <w:t>previous researches</w:t>
      </w:r>
      <w:r w:rsidR="004D3C87">
        <w:rPr>
          <w:lang w:eastAsia="zh-TW"/>
        </w:rPr>
        <w:t xml:space="preserve"> as</w:t>
      </w:r>
      <w:r w:rsidR="004D3C87" w:rsidRPr="004D3C87">
        <w:rPr>
          <w:lang w:eastAsia="zh-TW"/>
        </w:rPr>
        <w:t xml:space="preserve"> </w:t>
      </w:r>
      <w:r w:rsidR="004D3C87">
        <w:rPr>
          <w:lang w:eastAsia="zh-TW"/>
        </w:rPr>
        <w:t>shown in Table 1</w:t>
      </w:r>
      <w:r w:rsidR="00CC1035">
        <w:rPr>
          <w:lang w:eastAsia="zh-TW"/>
        </w:rPr>
        <w:t xml:space="preserve">. </w:t>
      </w:r>
    </w:p>
    <w:p w14:paraId="2AE8542C" w14:textId="7AE7672A" w:rsidR="00C94AD8" w:rsidRDefault="00C94AD8" w:rsidP="00C94AD8">
      <w:pPr>
        <w:pStyle w:val="2"/>
        <w:spacing w:line="480" w:lineRule="auto"/>
        <w:jc w:val="center"/>
        <w:rPr>
          <w:lang w:eastAsia="zh-TW"/>
        </w:rPr>
      </w:pPr>
      <w:r>
        <w:rPr>
          <w:rFonts w:hint="eastAsia"/>
          <w:lang w:eastAsia="zh-TW"/>
        </w:rPr>
        <w:t>T</w:t>
      </w:r>
      <w:r>
        <w:rPr>
          <w:lang w:eastAsia="zh-TW"/>
        </w:rPr>
        <w:t xml:space="preserve">able 1. Comparison of FOM with other </w:t>
      </w:r>
      <w:r w:rsidR="003A39E1">
        <w:rPr>
          <w:lang w:eastAsia="zh-TW"/>
        </w:rPr>
        <w:t xml:space="preserve">previous </w:t>
      </w:r>
      <w:r>
        <w:rPr>
          <w:lang w:eastAsia="zh-TW"/>
        </w:rPr>
        <w:t>reference.</w:t>
      </w:r>
    </w:p>
    <w:tbl>
      <w:tblPr>
        <w:tblStyle w:val="ab"/>
        <w:tblW w:w="9077" w:type="dxa"/>
        <w:tblLook w:val="0420" w:firstRow="1" w:lastRow="0" w:firstColumn="0" w:lastColumn="0" w:noHBand="0" w:noVBand="1"/>
      </w:tblPr>
      <w:tblGrid>
        <w:gridCol w:w="1738"/>
        <w:gridCol w:w="1298"/>
        <w:gridCol w:w="2175"/>
        <w:gridCol w:w="1736"/>
        <w:gridCol w:w="2130"/>
      </w:tblGrid>
      <w:tr w:rsidR="00410E4C" w:rsidRPr="00410E4C" w14:paraId="01A1BAF4" w14:textId="77777777" w:rsidTr="00624EFB">
        <w:trPr>
          <w:trHeight w:val="537"/>
        </w:trPr>
        <w:tc>
          <w:tcPr>
            <w:tcW w:w="1738" w:type="dxa"/>
            <w:vAlign w:val="center"/>
            <w:hideMark/>
          </w:tcPr>
          <w:p w14:paraId="77471B44" w14:textId="77777777" w:rsidR="00410E4C" w:rsidRPr="00410E4C" w:rsidRDefault="00410E4C" w:rsidP="00624EFB">
            <w:pPr>
              <w:jc w:val="center"/>
              <w:rPr>
                <w:rFonts w:ascii="Helvetica" w:hAnsi="Helvetica"/>
                <w:snapToGrid w:val="0"/>
                <w:color w:val="000000"/>
                <w:lang w:eastAsia="zh-TW"/>
              </w:rPr>
            </w:pPr>
            <w:r w:rsidRPr="00410E4C">
              <w:rPr>
                <w:rFonts w:ascii="Helvetica" w:hAnsi="Helvetica"/>
                <w:snapToGrid w:val="0"/>
                <w:color w:val="000000"/>
                <w:lang w:eastAsia="zh-TW"/>
              </w:rPr>
              <w:t>Reference</w:t>
            </w:r>
          </w:p>
        </w:tc>
        <w:tc>
          <w:tcPr>
            <w:tcW w:w="1298" w:type="dxa"/>
            <w:vAlign w:val="center"/>
            <w:hideMark/>
          </w:tcPr>
          <w:p w14:paraId="7DEDEC32" w14:textId="77777777" w:rsidR="00410E4C" w:rsidRPr="00410E4C" w:rsidRDefault="00410E4C" w:rsidP="00624EFB">
            <w:pPr>
              <w:jc w:val="center"/>
              <w:rPr>
                <w:rFonts w:ascii="Helvetica" w:hAnsi="Helvetica"/>
                <w:snapToGrid w:val="0"/>
                <w:color w:val="000000"/>
                <w:lang w:eastAsia="zh-TW"/>
              </w:rPr>
            </w:pPr>
            <w:r w:rsidRPr="00410E4C">
              <w:rPr>
                <w:rFonts w:ascii="Helvetica" w:hAnsi="Helvetica"/>
                <w:snapToGrid w:val="0"/>
                <w:color w:val="000000"/>
                <w:lang w:eastAsia="zh-TW"/>
              </w:rPr>
              <w:t>Rs (Ω/</w:t>
            </w:r>
            <w:proofErr w:type="spellStart"/>
            <w:r w:rsidRPr="00410E4C">
              <w:rPr>
                <w:rFonts w:ascii="Helvetica" w:hAnsi="Helvetica"/>
                <w:snapToGrid w:val="0"/>
                <w:color w:val="000000"/>
                <w:lang w:eastAsia="zh-TW"/>
              </w:rPr>
              <w:t>sq</w:t>
            </w:r>
            <w:proofErr w:type="spellEnd"/>
            <w:r w:rsidRPr="00410E4C">
              <w:rPr>
                <w:rFonts w:ascii="Helvetica" w:hAnsi="Helvetica"/>
                <w:snapToGrid w:val="0"/>
                <w:color w:val="000000"/>
                <w:lang w:eastAsia="zh-TW"/>
              </w:rPr>
              <w:t>)</w:t>
            </w:r>
          </w:p>
        </w:tc>
        <w:tc>
          <w:tcPr>
            <w:tcW w:w="2175" w:type="dxa"/>
            <w:vAlign w:val="center"/>
            <w:hideMark/>
          </w:tcPr>
          <w:p w14:paraId="2B8B3AF8" w14:textId="77777777" w:rsidR="00410E4C" w:rsidRPr="00410E4C" w:rsidRDefault="00410E4C" w:rsidP="00624EFB">
            <w:pPr>
              <w:jc w:val="center"/>
              <w:rPr>
                <w:rFonts w:ascii="Helvetica" w:hAnsi="Helvetica"/>
                <w:snapToGrid w:val="0"/>
                <w:color w:val="000000"/>
                <w:lang w:eastAsia="zh-TW"/>
              </w:rPr>
            </w:pPr>
            <w:r w:rsidRPr="00410E4C">
              <w:rPr>
                <w:rFonts w:ascii="Helvetica" w:hAnsi="Helvetica"/>
                <w:snapToGrid w:val="0"/>
                <w:color w:val="000000"/>
                <w:lang w:eastAsia="zh-TW"/>
              </w:rPr>
              <w:t>Transmittance (%)</w:t>
            </w:r>
          </w:p>
        </w:tc>
        <w:tc>
          <w:tcPr>
            <w:tcW w:w="1736" w:type="dxa"/>
            <w:vAlign w:val="center"/>
            <w:hideMark/>
          </w:tcPr>
          <w:p w14:paraId="1761F8DD" w14:textId="77777777" w:rsidR="00410E4C" w:rsidRPr="00410E4C" w:rsidRDefault="00410E4C" w:rsidP="00624EFB">
            <w:pPr>
              <w:jc w:val="center"/>
              <w:rPr>
                <w:rFonts w:ascii="Helvetica" w:hAnsi="Helvetica"/>
                <w:snapToGrid w:val="0"/>
                <w:color w:val="000000"/>
                <w:lang w:eastAsia="zh-TW"/>
              </w:rPr>
            </w:pPr>
            <w:r w:rsidRPr="00410E4C">
              <w:rPr>
                <w:rFonts w:ascii="Helvetica" w:hAnsi="Helvetica"/>
                <w:snapToGrid w:val="0"/>
                <w:color w:val="000000"/>
                <w:lang w:eastAsia="zh-TW"/>
              </w:rPr>
              <w:t>FOM (10</w:t>
            </w:r>
            <w:r w:rsidRPr="00410E4C">
              <w:rPr>
                <w:rFonts w:ascii="Helvetica" w:hAnsi="Helvetica"/>
                <w:snapToGrid w:val="0"/>
                <w:color w:val="000000"/>
                <w:vertAlign w:val="superscript"/>
                <w:lang w:eastAsia="zh-TW"/>
              </w:rPr>
              <w:t>-2</w:t>
            </w:r>
            <w:r w:rsidRPr="00410E4C">
              <w:rPr>
                <w:rFonts w:ascii="Helvetica" w:hAnsi="Helvetica"/>
                <w:snapToGrid w:val="0"/>
                <w:color w:val="000000"/>
                <w:lang w:eastAsia="zh-TW"/>
              </w:rPr>
              <w:t>Ω</w:t>
            </w:r>
            <w:r w:rsidRPr="00410E4C">
              <w:rPr>
                <w:rFonts w:ascii="Helvetica" w:hAnsi="Helvetica"/>
                <w:snapToGrid w:val="0"/>
                <w:color w:val="000000"/>
                <w:vertAlign w:val="superscript"/>
                <w:lang w:eastAsia="zh-TW"/>
              </w:rPr>
              <w:t>-1</w:t>
            </w:r>
            <w:r w:rsidRPr="00410E4C">
              <w:rPr>
                <w:rFonts w:ascii="Helvetica" w:hAnsi="Helvetica"/>
                <w:snapToGrid w:val="0"/>
                <w:color w:val="000000"/>
                <w:lang w:eastAsia="zh-TW"/>
              </w:rPr>
              <w:t>)</w:t>
            </w:r>
          </w:p>
        </w:tc>
        <w:tc>
          <w:tcPr>
            <w:tcW w:w="2130" w:type="dxa"/>
            <w:vAlign w:val="center"/>
            <w:hideMark/>
          </w:tcPr>
          <w:p w14:paraId="2494F5AD" w14:textId="77777777" w:rsidR="00410E4C" w:rsidRPr="00410E4C" w:rsidRDefault="00410E4C" w:rsidP="00624EFB">
            <w:pPr>
              <w:jc w:val="center"/>
              <w:rPr>
                <w:rFonts w:ascii="Helvetica" w:hAnsi="Helvetica"/>
                <w:snapToGrid w:val="0"/>
                <w:color w:val="000000"/>
                <w:lang w:eastAsia="zh-TW"/>
              </w:rPr>
            </w:pPr>
            <w:r w:rsidRPr="00410E4C">
              <w:rPr>
                <w:rFonts w:ascii="Helvetica" w:hAnsi="Helvetica"/>
                <w:snapToGrid w:val="0"/>
                <w:color w:val="000000"/>
                <w:lang w:eastAsia="zh-TW"/>
              </w:rPr>
              <w:t>Method</w:t>
            </w:r>
          </w:p>
        </w:tc>
      </w:tr>
      <w:tr w:rsidR="00410E4C" w:rsidRPr="00410E4C" w14:paraId="0CA5D06F" w14:textId="77777777" w:rsidTr="00624EFB">
        <w:trPr>
          <w:trHeight w:val="548"/>
        </w:trPr>
        <w:tc>
          <w:tcPr>
            <w:tcW w:w="1738" w:type="dxa"/>
            <w:vAlign w:val="center"/>
            <w:hideMark/>
          </w:tcPr>
          <w:p w14:paraId="348DD299" w14:textId="77777777" w:rsidR="00410E4C" w:rsidRPr="00410E4C" w:rsidRDefault="00410E4C" w:rsidP="00624EFB">
            <w:pPr>
              <w:jc w:val="center"/>
              <w:rPr>
                <w:rFonts w:ascii="Helvetica" w:hAnsi="Helvetica"/>
                <w:snapToGrid w:val="0"/>
                <w:color w:val="000000"/>
                <w:lang w:eastAsia="zh-TW"/>
              </w:rPr>
            </w:pPr>
            <w:proofErr w:type="spellStart"/>
            <w:r w:rsidRPr="00410E4C">
              <w:rPr>
                <w:rFonts w:ascii="Helvetica" w:hAnsi="Helvetica"/>
                <w:snapToGrid w:val="0"/>
                <w:color w:val="000000"/>
                <w:lang w:eastAsia="zh-TW"/>
              </w:rPr>
              <w:t>Sunde</w:t>
            </w:r>
            <w:proofErr w:type="spellEnd"/>
            <w:r w:rsidRPr="00410E4C">
              <w:rPr>
                <w:rFonts w:ascii="Helvetica" w:hAnsi="Helvetica"/>
                <w:snapToGrid w:val="0"/>
                <w:color w:val="000000"/>
                <w:lang w:eastAsia="zh-TW"/>
              </w:rPr>
              <w:t>, T. O. L. et al. (2012)</w:t>
            </w:r>
          </w:p>
        </w:tc>
        <w:tc>
          <w:tcPr>
            <w:tcW w:w="1298" w:type="dxa"/>
            <w:vAlign w:val="center"/>
            <w:hideMark/>
          </w:tcPr>
          <w:p w14:paraId="3FD4F4A6" w14:textId="77777777" w:rsidR="00410E4C" w:rsidRPr="00410E4C" w:rsidRDefault="00410E4C" w:rsidP="00624EFB">
            <w:pPr>
              <w:jc w:val="center"/>
              <w:rPr>
                <w:rFonts w:ascii="Helvetica" w:hAnsi="Helvetica"/>
                <w:snapToGrid w:val="0"/>
                <w:color w:val="000000"/>
                <w:lang w:eastAsia="zh-TW"/>
              </w:rPr>
            </w:pPr>
            <w:r w:rsidRPr="00410E4C">
              <w:rPr>
                <w:rFonts w:ascii="Helvetica" w:hAnsi="Helvetica"/>
                <w:snapToGrid w:val="0"/>
                <w:color w:val="000000"/>
                <w:lang w:eastAsia="zh-TW"/>
              </w:rPr>
              <w:t>379</w:t>
            </w:r>
          </w:p>
        </w:tc>
        <w:tc>
          <w:tcPr>
            <w:tcW w:w="2175" w:type="dxa"/>
            <w:vAlign w:val="center"/>
            <w:hideMark/>
          </w:tcPr>
          <w:p w14:paraId="67BA6B11" w14:textId="77777777" w:rsidR="00410E4C" w:rsidRPr="00410E4C" w:rsidRDefault="00410E4C" w:rsidP="00624EFB">
            <w:pPr>
              <w:jc w:val="center"/>
              <w:rPr>
                <w:rFonts w:ascii="Helvetica" w:hAnsi="Helvetica"/>
                <w:snapToGrid w:val="0"/>
                <w:color w:val="000000"/>
                <w:lang w:eastAsia="zh-TW"/>
              </w:rPr>
            </w:pPr>
            <w:r w:rsidRPr="00410E4C">
              <w:rPr>
                <w:rFonts w:ascii="Helvetica" w:hAnsi="Helvetica"/>
                <w:snapToGrid w:val="0"/>
                <w:color w:val="000000"/>
                <w:lang w:eastAsia="zh-TW"/>
              </w:rPr>
              <w:t>88</w:t>
            </w:r>
          </w:p>
        </w:tc>
        <w:tc>
          <w:tcPr>
            <w:tcW w:w="1736" w:type="dxa"/>
            <w:vAlign w:val="center"/>
            <w:hideMark/>
          </w:tcPr>
          <w:p w14:paraId="75AA5CC4" w14:textId="77777777" w:rsidR="00410E4C" w:rsidRPr="00410E4C" w:rsidRDefault="00410E4C" w:rsidP="00624EFB">
            <w:pPr>
              <w:jc w:val="center"/>
              <w:rPr>
                <w:rFonts w:ascii="Helvetica" w:hAnsi="Helvetica"/>
                <w:snapToGrid w:val="0"/>
                <w:color w:val="000000"/>
                <w:lang w:eastAsia="zh-TW"/>
              </w:rPr>
            </w:pPr>
            <w:r w:rsidRPr="00410E4C">
              <w:rPr>
                <w:rFonts w:ascii="Helvetica" w:hAnsi="Helvetica"/>
                <w:snapToGrid w:val="0"/>
                <w:color w:val="000000"/>
                <w:lang w:eastAsia="zh-TW"/>
              </w:rPr>
              <w:t>0.073</w:t>
            </w:r>
          </w:p>
        </w:tc>
        <w:tc>
          <w:tcPr>
            <w:tcW w:w="2130" w:type="dxa"/>
            <w:vAlign w:val="center"/>
            <w:hideMark/>
          </w:tcPr>
          <w:p w14:paraId="23B5B321" w14:textId="77777777" w:rsidR="00410E4C" w:rsidRPr="00410E4C" w:rsidRDefault="00410E4C" w:rsidP="00624EFB">
            <w:pPr>
              <w:jc w:val="center"/>
              <w:rPr>
                <w:rFonts w:ascii="Helvetica" w:hAnsi="Helvetica"/>
                <w:snapToGrid w:val="0"/>
                <w:color w:val="000000"/>
                <w:lang w:eastAsia="zh-TW"/>
              </w:rPr>
            </w:pPr>
            <w:r w:rsidRPr="00410E4C">
              <w:rPr>
                <w:rFonts w:ascii="Helvetica" w:hAnsi="Helvetica"/>
                <w:snapToGrid w:val="0"/>
                <w:color w:val="000000"/>
                <w:lang w:eastAsia="zh-TW"/>
              </w:rPr>
              <w:t>Spin coating</w:t>
            </w:r>
          </w:p>
        </w:tc>
      </w:tr>
      <w:tr w:rsidR="00410E4C" w:rsidRPr="00410E4C" w14:paraId="38DFB9F4" w14:textId="77777777" w:rsidTr="00624EFB">
        <w:trPr>
          <w:trHeight w:val="548"/>
        </w:trPr>
        <w:tc>
          <w:tcPr>
            <w:tcW w:w="1738" w:type="dxa"/>
            <w:vAlign w:val="center"/>
            <w:hideMark/>
          </w:tcPr>
          <w:p w14:paraId="5039E4D3" w14:textId="77777777" w:rsidR="00410E4C" w:rsidRPr="00410E4C" w:rsidRDefault="00410E4C" w:rsidP="00624EFB">
            <w:pPr>
              <w:jc w:val="center"/>
              <w:rPr>
                <w:rFonts w:ascii="Helvetica" w:hAnsi="Helvetica"/>
                <w:snapToGrid w:val="0"/>
                <w:color w:val="000000"/>
                <w:lang w:eastAsia="zh-TW"/>
              </w:rPr>
            </w:pPr>
            <w:r w:rsidRPr="00410E4C">
              <w:rPr>
                <w:rFonts w:ascii="Helvetica" w:hAnsi="Helvetica"/>
                <w:snapToGrid w:val="0"/>
                <w:color w:val="000000"/>
                <w:lang w:eastAsia="zh-TW"/>
              </w:rPr>
              <w:t>Maruyama, T.; Kojima, A. (1988)</w:t>
            </w:r>
          </w:p>
        </w:tc>
        <w:tc>
          <w:tcPr>
            <w:tcW w:w="1298" w:type="dxa"/>
            <w:vAlign w:val="center"/>
            <w:hideMark/>
          </w:tcPr>
          <w:p w14:paraId="580C5CD3" w14:textId="77777777" w:rsidR="00410E4C" w:rsidRPr="00410E4C" w:rsidRDefault="00410E4C" w:rsidP="00624EFB">
            <w:pPr>
              <w:jc w:val="center"/>
              <w:rPr>
                <w:rFonts w:ascii="Helvetica" w:hAnsi="Helvetica"/>
                <w:snapToGrid w:val="0"/>
                <w:color w:val="000000"/>
                <w:lang w:eastAsia="zh-TW"/>
              </w:rPr>
            </w:pPr>
            <w:r w:rsidRPr="00410E4C">
              <w:rPr>
                <w:rFonts w:ascii="Helvetica" w:hAnsi="Helvetica"/>
                <w:snapToGrid w:val="0"/>
                <w:color w:val="000000"/>
                <w:lang w:eastAsia="zh-TW"/>
              </w:rPr>
              <w:t>573</w:t>
            </w:r>
          </w:p>
        </w:tc>
        <w:tc>
          <w:tcPr>
            <w:tcW w:w="2175" w:type="dxa"/>
            <w:vAlign w:val="center"/>
            <w:hideMark/>
          </w:tcPr>
          <w:p w14:paraId="6D51F340" w14:textId="77777777" w:rsidR="00410E4C" w:rsidRPr="00410E4C" w:rsidRDefault="00410E4C" w:rsidP="00624EFB">
            <w:pPr>
              <w:jc w:val="center"/>
              <w:rPr>
                <w:rFonts w:ascii="Helvetica" w:hAnsi="Helvetica"/>
                <w:snapToGrid w:val="0"/>
                <w:color w:val="000000"/>
                <w:lang w:eastAsia="zh-TW"/>
              </w:rPr>
            </w:pPr>
            <w:r w:rsidRPr="00410E4C">
              <w:rPr>
                <w:rFonts w:ascii="Helvetica" w:hAnsi="Helvetica"/>
                <w:snapToGrid w:val="0"/>
                <w:color w:val="000000"/>
                <w:lang w:eastAsia="zh-TW"/>
              </w:rPr>
              <w:t>96</w:t>
            </w:r>
          </w:p>
        </w:tc>
        <w:tc>
          <w:tcPr>
            <w:tcW w:w="1736" w:type="dxa"/>
            <w:vAlign w:val="center"/>
            <w:hideMark/>
          </w:tcPr>
          <w:p w14:paraId="7BEDCDF7" w14:textId="77777777" w:rsidR="00410E4C" w:rsidRPr="00410E4C" w:rsidRDefault="00410E4C" w:rsidP="00624EFB">
            <w:pPr>
              <w:jc w:val="center"/>
              <w:rPr>
                <w:rFonts w:ascii="Helvetica" w:hAnsi="Helvetica"/>
                <w:snapToGrid w:val="0"/>
                <w:color w:val="000000"/>
                <w:lang w:eastAsia="zh-TW"/>
              </w:rPr>
            </w:pPr>
            <w:r w:rsidRPr="00410E4C">
              <w:rPr>
                <w:rFonts w:ascii="Helvetica" w:hAnsi="Helvetica"/>
                <w:snapToGrid w:val="0"/>
                <w:color w:val="000000"/>
                <w:lang w:eastAsia="zh-TW"/>
              </w:rPr>
              <w:t>0.116</w:t>
            </w:r>
          </w:p>
        </w:tc>
        <w:tc>
          <w:tcPr>
            <w:tcW w:w="2130" w:type="dxa"/>
            <w:vAlign w:val="center"/>
            <w:hideMark/>
          </w:tcPr>
          <w:p w14:paraId="6D037656" w14:textId="77777777" w:rsidR="00410E4C" w:rsidRPr="00410E4C" w:rsidRDefault="00410E4C" w:rsidP="00624EFB">
            <w:pPr>
              <w:jc w:val="center"/>
              <w:rPr>
                <w:rFonts w:ascii="Helvetica" w:hAnsi="Helvetica"/>
                <w:snapToGrid w:val="0"/>
                <w:color w:val="000000"/>
                <w:lang w:eastAsia="zh-TW"/>
              </w:rPr>
            </w:pPr>
            <w:r w:rsidRPr="00410E4C">
              <w:rPr>
                <w:rFonts w:ascii="Helvetica" w:hAnsi="Helvetica"/>
                <w:snapToGrid w:val="0"/>
                <w:color w:val="000000"/>
                <w:lang w:eastAsia="zh-TW"/>
              </w:rPr>
              <w:t>Dip coating</w:t>
            </w:r>
          </w:p>
        </w:tc>
      </w:tr>
      <w:tr w:rsidR="00410E4C" w:rsidRPr="00410E4C" w14:paraId="19F7603F" w14:textId="77777777" w:rsidTr="00624EFB">
        <w:trPr>
          <w:trHeight w:val="671"/>
        </w:trPr>
        <w:tc>
          <w:tcPr>
            <w:tcW w:w="1738" w:type="dxa"/>
            <w:vAlign w:val="center"/>
            <w:hideMark/>
          </w:tcPr>
          <w:p w14:paraId="79ED9117" w14:textId="77777777" w:rsidR="00410E4C" w:rsidRPr="00410E4C" w:rsidRDefault="00410E4C" w:rsidP="00624EFB">
            <w:pPr>
              <w:jc w:val="center"/>
              <w:rPr>
                <w:rFonts w:ascii="Helvetica" w:hAnsi="Helvetica"/>
                <w:snapToGrid w:val="0"/>
                <w:color w:val="000000"/>
                <w:lang w:eastAsia="zh-TW"/>
              </w:rPr>
            </w:pPr>
            <w:r w:rsidRPr="00410E4C">
              <w:rPr>
                <w:rFonts w:ascii="Helvetica" w:hAnsi="Helvetica"/>
                <w:snapToGrid w:val="0"/>
                <w:color w:val="000000"/>
                <w:lang w:eastAsia="zh-TW"/>
              </w:rPr>
              <w:t>Ota, R. et al. (2003)</w:t>
            </w:r>
          </w:p>
        </w:tc>
        <w:tc>
          <w:tcPr>
            <w:tcW w:w="1298" w:type="dxa"/>
            <w:vAlign w:val="center"/>
            <w:hideMark/>
          </w:tcPr>
          <w:p w14:paraId="29E41C30" w14:textId="77777777" w:rsidR="00410E4C" w:rsidRPr="00410E4C" w:rsidRDefault="00410E4C" w:rsidP="00624EFB">
            <w:pPr>
              <w:jc w:val="center"/>
              <w:rPr>
                <w:rFonts w:ascii="Helvetica" w:hAnsi="Helvetica"/>
                <w:snapToGrid w:val="0"/>
                <w:color w:val="000000"/>
                <w:lang w:eastAsia="zh-TW"/>
              </w:rPr>
            </w:pPr>
            <w:r w:rsidRPr="00410E4C">
              <w:rPr>
                <w:rFonts w:ascii="Helvetica" w:hAnsi="Helvetica"/>
                <w:snapToGrid w:val="0"/>
                <w:color w:val="000000"/>
                <w:lang w:eastAsia="zh-TW"/>
              </w:rPr>
              <w:t>100</w:t>
            </w:r>
          </w:p>
        </w:tc>
        <w:tc>
          <w:tcPr>
            <w:tcW w:w="2175" w:type="dxa"/>
            <w:vAlign w:val="center"/>
            <w:hideMark/>
          </w:tcPr>
          <w:p w14:paraId="2F1A2898" w14:textId="77777777" w:rsidR="00410E4C" w:rsidRPr="00410E4C" w:rsidRDefault="00410E4C" w:rsidP="00624EFB">
            <w:pPr>
              <w:jc w:val="center"/>
              <w:rPr>
                <w:rFonts w:ascii="Helvetica" w:hAnsi="Helvetica"/>
                <w:snapToGrid w:val="0"/>
                <w:color w:val="000000"/>
                <w:lang w:eastAsia="zh-TW"/>
              </w:rPr>
            </w:pPr>
            <w:r w:rsidRPr="00410E4C">
              <w:rPr>
                <w:rFonts w:ascii="Helvetica" w:hAnsi="Helvetica"/>
                <w:snapToGrid w:val="0"/>
                <w:color w:val="000000"/>
                <w:lang w:eastAsia="zh-TW"/>
              </w:rPr>
              <w:t>70</w:t>
            </w:r>
          </w:p>
        </w:tc>
        <w:tc>
          <w:tcPr>
            <w:tcW w:w="1736" w:type="dxa"/>
            <w:vAlign w:val="center"/>
            <w:hideMark/>
          </w:tcPr>
          <w:p w14:paraId="199409D1" w14:textId="77777777" w:rsidR="00410E4C" w:rsidRPr="00410E4C" w:rsidRDefault="00410E4C" w:rsidP="00624EFB">
            <w:pPr>
              <w:jc w:val="center"/>
              <w:rPr>
                <w:rFonts w:ascii="Helvetica" w:hAnsi="Helvetica"/>
                <w:snapToGrid w:val="0"/>
                <w:color w:val="000000"/>
                <w:lang w:eastAsia="zh-TW"/>
              </w:rPr>
            </w:pPr>
            <w:r w:rsidRPr="00410E4C">
              <w:rPr>
                <w:rFonts w:ascii="Helvetica" w:hAnsi="Helvetica"/>
                <w:snapToGrid w:val="0"/>
                <w:color w:val="000000"/>
                <w:lang w:eastAsia="zh-TW"/>
              </w:rPr>
              <w:t>0.028</w:t>
            </w:r>
          </w:p>
        </w:tc>
        <w:tc>
          <w:tcPr>
            <w:tcW w:w="2130" w:type="dxa"/>
            <w:vAlign w:val="center"/>
            <w:hideMark/>
          </w:tcPr>
          <w:p w14:paraId="5F494C0C" w14:textId="77777777" w:rsidR="00410E4C" w:rsidRPr="00410E4C" w:rsidRDefault="00410E4C" w:rsidP="00624EFB">
            <w:pPr>
              <w:jc w:val="center"/>
              <w:rPr>
                <w:rFonts w:ascii="Helvetica" w:hAnsi="Helvetica"/>
                <w:snapToGrid w:val="0"/>
                <w:color w:val="000000"/>
                <w:lang w:eastAsia="zh-TW"/>
              </w:rPr>
            </w:pPr>
            <w:r w:rsidRPr="00410E4C">
              <w:rPr>
                <w:rFonts w:ascii="Helvetica" w:hAnsi="Helvetica"/>
                <w:snapToGrid w:val="0"/>
                <w:color w:val="000000"/>
                <w:lang w:eastAsia="zh-TW"/>
              </w:rPr>
              <w:t>Dip coating</w:t>
            </w:r>
          </w:p>
        </w:tc>
      </w:tr>
      <w:tr w:rsidR="00410E4C" w:rsidRPr="00410E4C" w14:paraId="20B436C2" w14:textId="77777777" w:rsidTr="00624EFB">
        <w:trPr>
          <w:trHeight w:val="671"/>
        </w:trPr>
        <w:tc>
          <w:tcPr>
            <w:tcW w:w="1738" w:type="dxa"/>
            <w:vAlign w:val="center"/>
            <w:hideMark/>
          </w:tcPr>
          <w:p w14:paraId="42341C57" w14:textId="77777777" w:rsidR="00410E4C" w:rsidRPr="00410E4C" w:rsidRDefault="00410E4C" w:rsidP="00624EFB">
            <w:pPr>
              <w:jc w:val="center"/>
              <w:rPr>
                <w:rFonts w:ascii="Helvetica" w:hAnsi="Helvetica"/>
                <w:snapToGrid w:val="0"/>
                <w:color w:val="000000"/>
                <w:lang w:eastAsia="zh-TW"/>
              </w:rPr>
            </w:pPr>
            <w:r w:rsidRPr="00410E4C">
              <w:rPr>
                <w:rFonts w:ascii="Helvetica" w:hAnsi="Helvetica"/>
                <w:snapToGrid w:val="0"/>
                <w:color w:val="000000"/>
                <w:lang w:eastAsia="zh-TW"/>
              </w:rPr>
              <w:t>Lee, J. et al.</w:t>
            </w:r>
          </w:p>
          <w:p w14:paraId="64300C12" w14:textId="77777777" w:rsidR="00410E4C" w:rsidRPr="00410E4C" w:rsidRDefault="00410E4C" w:rsidP="00624EFB">
            <w:pPr>
              <w:jc w:val="center"/>
              <w:rPr>
                <w:rFonts w:ascii="Helvetica" w:hAnsi="Helvetica"/>
                <w:snapToGrid w:val="0"/>
                <w:color w:val="000000"/>
                <w:lang w:eastAsia="zh-TW"/>
              </w:rPr>
            </w:pPr>
            <w:r w:rsidRPr="00410E4C">
              <w:rPr>
                <w:rFonts w:ascii="Helvetica" w:hAnsi="Helvetica"/>
                <w:snapToGrid w:val="0"/>
                <w:color w:val="000000"/>
                <w:lang w:eastAsia="zh-TW"/>
              </w:rPr>
              <w:t>(2012)</w:t>
            </w:r>
          </w:p>
        </w:tc>
        <w:tc>
          <w:tcPr>
            <w:tcW w:w="1298" w:type="dxa"/>
            <w:vAlign w:val="center"/>
            <w:hideMark/>
          </w:tcPr>
          <w:p w14:paraId="224BFFE8" w14:textId="77777777" w:rsidR="00410E4C" w:rsidRPr="00410E4C" w:rsidRDefault="00410E4C" w:rsidP="00624EFB">
            <w:pPr>
              <w:jc w:val="center"/>
              <w:rPr>
                <w:rFonts w:ascii="Helvetica" w:hAnsi="Helvetica"/>
                <w:snapToGrid w:val="0"/>
                <w:color w:val="000000"/>
                <w:lang w:eastAsia="zh-TW"/>
              </w:rPr>
            </w:pPr>
            <w:r w:rsidRPr="00410E4C">
              <w:rPr>
                <w:rFonts w:ascii="Helvetica" w:hAnsi="Helvetica"/>
                <w:snapToGrid w:val="0"/>
                <w:color w:val="000000"/>
                <w:lang w:eastAsia="zh-TW"/>
              </w:rPr>
              <w:t>356</w:t>
            </w:r>
          </w:p>
        </w:tc>
        <w:tc>
          <w:tcPr>
            <w:tcW w:w="2175" w:type="dxa"/>
            <w:vAlign w:val="center"/>
            <w:hideMark/>
          </w:tcPr>
          <w:p w14:paraId="58A53A4D" w14:textId="77777777" w:rsidR="00410E4C" w:rsidRPr="00410E4C" w:rsidRDefault="00410E4C" w:rsidP="00624EFB">
            <w:pPr>
              <w:jc w:val="center"/>
              <w:rPr>
                <w:rFonts w:ascii="Helvetica" w:hAnsi="Helvetica"/>
                <w:snapToGrid w:val="0"/>
                <w:color w:val="000000"/>
                <w:lang w:eastAsia="zh-TW"/>
              </w:rPr>
            </w:pPr>
            <w:r w:rsidRPr="00410E4C">
              <w:rPr>
                <w:rFonts w:ascii="Helvetica" w:hAnsi="Helvetica"/>
                <w:snapToGrid w:val="0"/>
                <w:color w:val="000000"/>
                <w:lang w:eastAsia="zh-TW"/>
              </w:rPr>
              <w:t>93</w:t>
            </w:r>
          </w:p>
        </w:tc>
        <w:tc>
          <w:tcPr>
            <w:tcW w:w="1736" w:type="dxa"/>
            <w:vAlign w:val="center"/>
            <w:hideMark/>
          </w:tcPr>
          <w:p w14:paraId="55BA7FB4" w14:textId="77777777" w:rsidR="00410E4C" w:rsidRPr="00410E4C" w:rsidRDefault="00410E4C" w:rsidP="00624EFB">
            <w:pPr>
              <w:jc w:val="center"/>
              <w:rPr>
                <w:rFonts w:ascii="Helvetica" w:hAnsi="Helvetica"/>
                <w:snapToGrid w:val="0"/>
                <w:color w:val="000000"/>
                <w:lang w:eastAsia="zh-TW"/>
              </w:rPr>
            </w:pPr>
            <w:r w:rsidRPr="00410E4C">
              <w:rPr>
                <w:rFonts w:ascii="Helvetica" w:hAnsi="Helvetica"/>
                <w:snapToGrid w:val="0"/>
                <w:color w:val="000000"/>
                <w:lang w:eastAsia="zh-TW"/>
              </w:rPr>
              <w:t>0.136</w:t>
            </w:r>
          </w:p>
        </w:tc>
        <w:tc>
          <w:tcPr>
            <w:tcW w:w="2130" w:type="dxa"/>
            <w:vAlign w:val="center"/>
            <w:hideMark/>
          </w:tcPr>
          <w:p w14:paraId="6EC1ED29" w14:textId="77777777" w:rsidR="00410E4C" w:rsidRPr="00410E4C" w:rsidRDefault="00410E4C" w:rsidP="00624EFB">
            <w:pPr>
              <w:jc w:val="center"/>
              <w:rPr>
                <w:rFonts w:ascii="Helvetica" w:hAnsi="Helvetica"/>
                <w:snapToGrid w:val="0"/>
                <w:color w:val="000000"/>
                <w:lang w:eastAsia="zh-TW"/>
              </w:rPr>
            </w:pPr>
            <w:r w:rsidRPr="00410E4C">
              <w:rPr>
                <w:rFonts w:ascii="Helvetica" w:hAnsi="Helvetica"/>
                <w:snapToGrid w:val="0"/>
                <w:color w:val="000000"/>
                <w:lang w:eastAsia="zh-TW"/>
              </w:rPr>
              <w:t>Spin coating</w:t>
            </w:r>
          </w:p>
        </w:tc>
      </w:tr>
      <w:tr w:rsidR="00410E4C" w:rsidRPr="00410E4C" w14:paraId="174208C7" w14:textId="77777777" w:rsidTr="00846371">
        <w:trPr>
          <w:trHeight w:val="608"/>
        </w:trPr>
        <w:tc>
          <w:tcPr>
            <w:tcW w:w="1738" w:type="dxa"/>
            <w:vAlign w:val="center"/>
            <w:hideMark/>
          </w:tcPr>
          <w:p w14:paraId="3CA56381" w14:textId="77777777" w:rsidR="00410E4C" w:rsidRPr="00410E4C" w:rsidRDefault="00410E4C" w:rsidP="00624EFB">
            <w:pPr>
              <w:jc w:val="center"/>
              <w:rPr>
                <w:rFonts w:ascii="Helvetica" w:hAnsi="Helvetica"/>
                <w:snapToGrid w:val="0"/>
                <w:color w:val="000000"/>
                <w:lang w:eastAsia="zh-TW"/>
              </w:rPr>
            </w:pPr>
            <w:r w:rsidRPr="00410E4C">
              <w:rPr>
                <w:rFonts w:ascii="Helvetica" w:hAnsi="Helvetica"/>
                <w:snapToGrid w:val="0"/>
                <w:color w:val="000000"/>
                <w:lang w:eastAsia="zh-TW"/>
              </w:rPr>
              <w:t>This work</w:t>
            </w:r>
          </w:p>
        </w:tc>
        <w:tc>
          <w:tcPr>
            <w:tcW w:w="1298" w:type="dxa"/>
            <w:vAlign w:val="center"/>
            <w:hideMark/>
          </w:tcPr>
          <w:p w14:paraId="2FE71A17" w14:textId="77777777" w:rsidR="00410E4C" w:rsidRPr="00410E4C" w:rsidRDefault="00410E4C" w:rsidP="00624EFB">
            <w:pPr>
              <w:jc w:val="center"/>
              <w:rPr>
                <w:rFonts w:ascii="Helvetica" w:hAnsi="Helvetica"/>
                <w:snapToGrid w:val="0"/>
                <w:color w:val="000000"/>
                <w:lang w:eastAsia="zh-TW"/>
              </w:rPr>
            </w:pPr>
            <w:r w:rsidRPr="00410E4C">
              <w:rPr>
                <w:rFonts w:ascii="Helvetica" w:hAnsi="Helvetica"/>
                <w:snapToGrid w:val="0"/>
                <w:color w:val="000000"/>
                <w:lang w:eastAsia="zh-TW"/>
              </w:rPr>
              <w:t>500</w:t>
            </w:r>
          </w:p>
        </w:tc>
        <w:tc>
          <w:tcPr>
            <w:tcW w:w="2175" w:type="dxa"/>
            <w:vAlign w:val="center"/>
            <w:hideMark/>
          </w:tcPr>
          <w:p w14:paraId="4FE0B01B" w14:textId="77777777" w:rsidR="00410E4C" w:rsidRPr="00410E4C" w:rsidRDefault="00410E4C" w:rsidP="00624EFB">
            <w:pPr>
              <w:jc w:val="center"/>
              <w:rPr>
                <w:rFonts w:ascii="Helvetica" w:hAnsi="Helvetica"/>
                <w:snapToGrid w:val="0"/>
                <w:color w:val="000000"/>
                <w:lang w:eastAsia="zh-TW"/>
              </w:rPr>
            </w:pPr>
            <w:r w:rsidRPr="00410E4C">
              <w:rPr>
                <w:rFonts w:ascii="Helvetica" w:hAnsi="Helvetica"/>
                <w:snapToGrid w:val="0"/>
                <w:color w:val="000000"/>
                <w:lang w:eastAsia="zh-TW"/>
              </w:rPr>
              <w:t>92 (w/ PET)</w:t>
            </w:r>
          </w:p>
          <w:p w14:paraId="79D0EE25" w14:textId="77777777" w:rsidR="00410E4C" w:rsidRPr="00410E4C" w:rsidRDefault="00410E4C" w:rsidP="00624EFB">
            <w:pPr>
              <w:jc w:val="center"/>
              <w:rPr>
                <w:rFonts w:ascii="Helvetica" w:hAnsi="Helvetica"/>
                <w:snapToGrid w:val="0"/>
                <w:color w:val="000000"/>
                <w:lang w:eastAsia="zh-TW"/>
              </w:rPr>
            </w:pPr>
            <w:r w:rsidRPr="00410E4C">
              <w:rPr>
                <w:rFonts w:ascii="Helvetica" w:hAnsi="Helvetica"/>
                <w:snapToGrid w:val="0"/>
                <w:color w:val="000000"/>
                <w:lang w:eastAsia="zh-TW"/>
              </w:rPr>
              <w:t>95 (w/o PET)</w:t>
            </w:r>
          </w:p>
        </w:tc>
        <w:tc>
          <w:tcPr>
            <w:tcW w:w="1736" w:type="dxa"/>
            <w:vAlign w:val="center"/>
            <w:hideMark/>
          </w:tcPr>
          <w:p w14:paraId="5F4D08AF" w14:textId="77777777" w:rsidR="00410E4C" w:rsidRPr="00410E4C" w:rsidRDefault="00410E4C" w:rsidP="00624EFB">
            <w:pPr>
              <w:jc w:val="center"/>
              <w:rPr>
                <w:rFonts w:ascii="Helvetica" w:hAnsi="Helvetica"/>
                <w:snapToGrid w:val="0"/>
                <w:color w:val="000000"/>
                <w:lang w:eastAsia="zh-TW"/>
              </w:rPr>
            </w:pPr>
            <w:r w:rsidRPr="00410E4C">
              <w:rPr>
                <w:rFonts w:ascii="Helvetica" w:hAnsi="Helvetica"/>
                <w:snapToGrid w:val="0"/>
                <w:color w:val="000000"/>
                <w:lang w:eastAsia="zh-TW"/>
              </w:rPr>
              <w:t>0.086</w:t>
            </w:r>
          </w:p>
          <w:p w14:paraId="29531C89" w14:textId="77777777" w:rsidR="00410E4C" w:rsidRPr="00410E4C" w:rsidRDefault="00410E4C" w:rsidP="00624EFB">
            <w:pPr>
              <w:jc w:val="center"/>
              <w:rPr>
                <w:rFonts w:ascii="Helvetica" w:hAnsi="Helvetica"/>
                <w:snapToGrid w:val="0"/>
                <w:color w:val="000000"/>
                <w:lang w:eastAsia="zh-TW"/>
              </w:rPr>
            </w:pPr>
            <w:r w:rsidRPr="00410E4C">
              <w:rPr>
                <w:rFonts w:ascii="Helvetica" w:hAnsi="Helvetica"/>
                <w:snapToGrid w:val="0"/>
                <w:color w:val="000000"/>
                <w:lang w:eastAsia="zh-TW"/>
              </w:rPr>
              <w:t>0.120</w:t>
            </w:r>
          </w:p>
        </w:tc>
        <w:tc>
          <w:tcPr>
            <w:tcW w:w="2130" w:type="dxa"/>
            <w:vAlign w:val="center"/>
            <w:hideMark/>
          </w:tcPr>
          <w:p w14:paraId="747A6A04" w14:textId="77777777" w:rsidR="00410E4C" w:rsidRPr="00410E4C" w:rsidRDefault="00410E4C" w:rsidP="00624EFB">
            <w:pPr>
              <w:jc w:val="center"/>
              <w:rPr>
                <w:rFonts w:ascii="Helvetica" w:hAnsi="Helvetica"/>
                <w:snapToGrid w:val="0"/>
                <w:color w:val="000000"/>
                <w:lang w:eastAsia="zh-TW"/>
              </w:rPr>
            </w:pPr>
            <w:r w:rsidRPr="00410E4C">
              <w:rPr>
                <w:rFonts w:ascii="Helvetica" w:hAnsi="Helvetica"/>
                <w:snapToGrid w:val="0"/>
                <w:color w:val="000000"/>
                <w:lang w:eastAsia="zh-TW"/>
              </w:rPr>
              <w:t>Blade coating</w:t>
            </w:r>
          </w:p>
        </w:tc>
      </w:tr>
    </w:tbl>
    <w:p w14:paraId="12EC800E" w14:textId="77777777" w:rsidR="00410E4C" w:rsidRDefault="00410E4C" w:rsidP="006A626F">
      <w:pPr>
        <w:pStyle w:val="2"/>
        <w:spacing w:line="480" w:lineRule="auto"/>
        <w:jc w:val="both"/>
        <w:rPr>
          <w:lang w:eastAsia="zh-TW"/>
        </w:rPr>
      </w:pPr>
    </w:p>
    <w:p w14:paraId="2980B963" w14:textId="1320384C" w:rsidR="00B16BB8" w:rsidRDefault="00CC1035" w:rsidP="006A626F">
      <w:pPr>
        <w:pStyle w:val="2"/>
        <w:spacing w:line="480" w:lineRule="auto"/>
        <w:jc w:val="both"/>
        <w:rPr>
          <w:lang w:eastAsia="zh-TW"/>
        </w:rPr>
      </w:pPr>
      <w:r>
        <w:rPr>
          <w:lang w:eastAsia="zh-TW"/>
        </w:rPr>
        <w:t xml:space="preserve">Bending test was also applied to test the duration of ITO-PET </w:t>
      </w:r>
      <w:r w:rsidR="00B2777D">
        <w:rPr>
          <w:lang w:eastAsia="zh-TW"/>
        </w:rPr>
        <w:t xml:space="preserve">under multiple times </w:t>
      </w:r>
      <w:r w:rsidR="004F30CB">
        <w:rPr>
          <w:lang w:eastAsia="zh-TW"/>
        </w:rPr>
        <w:t xml:space="preserve">bending as flexible electronics. In Fig </w:t>
      </w:r>
      <w:r w:rsidR="00471BD2">
        <w:rPr>
          <w:lang w:eastAsia="zh-TW"/>
        </w:rPr>
        <w:t>7</w:t>
      </w:r>
      <w:r w:rsidR="004F30CB">
        <w:rPr>
          <w:lang w:eastAsia="zh-TW"/>
        </w:rPr>
        <w:t>, we observed that sheet resistance of ITO-PET in our research only increase by three time, but the sheet resistance of commercial ITO increased by over 100 times.</w:t>
      </w:r>
      <w:r w:rsidR="0028634C">
        <w:rPr>
          <w:lang w:eastAsia="zh-TW"/>
        </w:rPr>
        <w:t xml:space="preserve"> With outstanding conductivity and transparency, we applied ITO-PET</w:t>
      </w:r>
      <w:r w:rsidR="0028634C">
        <w:rPr>
          <w:rFonts w:hint="eastAsia"/>
          <w:lang w:eastAsia="zh-TW"/>
        </w:rPr>
        <w:t xml:space="preserve"> a</w:t>
      </w:r>
      <w:r w:rsidR="0028634C">
        <w:rPr>
          <w:lang w:eastAsia="zh-TW"/>
        </w:rPr>
        <w:t>s electrode to formulate electrical double layer capacitor</w:t>
      </w:r>
      <w:r w:rsidR="00AD44A3">
        <w:rPr>
          <w:lang w:eastAsia="zh-TW"/>
        </w:rPr>
        <w:t xml:space="preserve"> (EDLC)</w:t>
      </w:r>
      <w:r w:rsidR="0028634C">
        <w:rPr>
          <w:lang w:eastAsia="zh-TW"/>
        </w:rPr>
        <w:t>.</w:t>
      </w:r>
      <w:r w:rsidR="00AD44A3">
        <w:rPr>
          <w:lang w:eastAsia="zh-TW"/>
        </w:rPr>
        <w:t xml:space="preserve"> EDLC was formed in sandwich structure with two ITO-PET as electrode and LiCl/PVA as electrolyte.</w:t>
      </w:r>
      <w:r w:rsidR="0028634C">
        <w:rPr>
          <w:lang w:eastAsia="zh-TW"/>
        </w:rPr>
        <w:t xml:space="preserve"> </w:t>
      </w:r>
      <w:r w:rsidR="00AD44A3">
        <w:rPr>
          <w:lang w:eastAsia="zh-TW"/>
        </w:rPr>
        <w:t xml:space="preserve">Cyclic voltammetry diagram </w:t>
      </w:r>
      <w:r w:rsidR="001E3049">
        <w:rPr>
          <w:lang w:eastAsia="zh-TW"/>
        </w:rPr>
        <w:t>in Fig</w:t>
      </w:r>
      <w:r w:rsidR="00E532D4">
        <w:rPr>
          <w:lang w:eastAsia="zh-TW"/>
        </w:rPr>
        <w:t xml:space="preserve"> </w:t>
      </w:r>
      <w:r w:rsidR="00471BD2">
        <w:rPr>
          <w:lang w:eastAsia="zh-TW"/>
        </w:rPr>
        <w:t>8.</w:t>
      </w:r>
      <w:r w:rsidR="001E3049">
        <w:rPr>
          <w:lang w:eastAsia="zh-TW"/>
        </w:rPr>
        <w:t xml:space="preserve"> </w:t>
      </w:r>
      <w:r w:rsidR="00AD44A3">
        <w:rPr>
          <w:lang w:eastAsia="zh-TW"/>
        </w:rPr>
        <w:t xml:space="preserve">showed EDLC characteristic and good capacitance, indicating </w:t>
      </w:r>
      <w:r w:rsidR="006F4177">
        <w:rPr>
          <w:lang w:eastAsia="zh-TW"/>
        </w:rPr>
        <w:t>that</w:t>
      </w:r>
      <w:r w:rsidR="00AD44A3">
        <w:rPr>
          <w:lang w:eastAsia="zh-TW"/>
        </w:rPr>
        <w:t xml:space="preserve"> ITO-PET from solution-based process c</w:t>
      </w:r>
      <w:r w:rsidR="006F4177">
        <w:rPr>
          <w:lang w:eastAsia="zh-TW"/>
        </w:rPr>
        <w:t>ould be applied in fabricating flexible electronics.</w:t>
      </w:r>
    </w:p>
    <w:p w14:paraId="3F3FC1AC" w14:textId="1191A336" w:rsidR="006F4177" w:rsidRDefault="0078437D" w:rsidP="0078437D">
      <w:pPr>
        <w:pStyle w:val="2"/>
        <w:spacing w:line="480" w:lineRule="auto"/>
        <w:jc w:val="center"/>
        <w:rPr>
          <w:lang w:eastAsia="zh-TW"/>
        </w:rPr>
      </w:pPr>
      <w:r w:rsidRPr="0078437D">
        <w:rPr>
          <w:noProof/>
          <w:lang w:eastAsia="zh-TW"/>
        </w:rPr>
        <w:lastRenderedPageBreak/>
        <w:drawing>
          <wp:inline distT="0" distB="0" distL="0" distR="0" wp14:anchorId="2EB0FA28" wp14:editId="2FD8127B">
            <wp:extent cx="3161763" cy="2369068"/>
            <wp:effectExtent l="0" t="0" r="0" b="0"/>
            <wp:docPr id="9" name="圖片 8">
              <a:extLst xmlns:a="http://schemas.openxmlformats.org/drawingml/2006/main">
                <a:ext uri="{FF2B5EF4-FFF2-40B4-BE49-F238E27FC236}">
                  <a16:creationId xmlns:a16="http://schemas.microsoft.com/office/drawing/2014/main" id="{3394B90A-77C2-49ED-93C2-ECA1AE24B4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8">
                      <a:extLst>
                        <a:ext uri="{FF2B5EF4-FFF2-40B4-BE49-F238E27FC236}">
                          <a16:creationId xmlns:a16="http://schemas.microsoft.com/office/drawing/2014/main" id="{3394B90A-77C2-49ED-93C2-ECA1AE24B42D}"/>
                        </a:ext>
                      </a:extLst>
                    </pic:cNvPr>
                    <pic:cNvPicPr>
                      <a:picLocks noChangeAspect="1"/>
                    </pic:cNvPicPr>
                  </pic:nvPicPr>
                  <pic:blipFill rotWithShape="1">
                    <a:blip r:embed="rId16"/>
                    <a:srcRect l="3495" t="6748" r="28802" b="20618"/>
                    <a:stretch/>
                  </pic:blipFill>
                  <pic:spPr>
                    <a:xfrm>
                      <a:off x="0" y="0"/>
                      <a:ext cx="3167667" cy="2373492"/>
                    </a:xfrm>
                    <a:prstGeom prst="rect">
                      <a:avLst/>
                    </a:prstGeom>
                  </pic:spPr>
                </pic:pic>
              </a:graphicData>
            </a:graphic>
          </wp:inline>
        </w:drawing>
      </w:r>
    </w:p>
    <w:p w14:paraId="1B2F0B3D" w14:textId="3B267D12" w:rsidR="0078437D" w:rsidRDefault="0078437D" w:rsidP="0078437D">
      <w:pPr>
        <w:pStyle w:val="2"/>
        <w:spacing w:line="480" w:lineRule="auto"/>
        <w:jc w:val="center"/>
        <w:rPr>
          <w:lang w:eastAsia="zh-TW"/>
        </w:rPr>
      </w:pPr>
      <w:r>
        <w:rPr>
          <w:lang w:eastAsia="zh-TW"/>
        </w:rPr>
        <w:t xml:space="preserve">Figure </w:t>
      </w:r>
      <w:r w:rsidR="00471BD2">
        <w:rPr>
          <w:lang w:eastAsia="zh-TW"/>
        </w:rPr>
        <w:t>7</w:t>
      </w:r>
      <w:r>
        <w:rPr>
          <w:lang w:eastAsia="zh-TW"/>
        </w:rPr>
        <w:t>.</w:t>
      </w:r>
      <w:r w:rsidR="00E532D4">
        <w:rPr>
          <w:lang w:eastAsia="zh-TW"/>
        </w:rPr>
        <w:t xml:space="preserve"> Bending test of ITO-PET in this research and commercial ITO-PET</w:t>
      </w:r>
    </w:p>
    <w:p w14:paraId="05AC403B" w14:textId="6CECA1BF" w:rsidR="0078437D" w:rsidRDefault="0078437D" w:rsidP="0078437D">
      <w:pPr>
        <w:pStyle w:val="2"/>
        <w:spacing w:line="480" w:lineRule="auto"/>
        <w:jc w:val="center"/>
        <w:rPr>
          <w:lang w:eastAsia="zh-TW"/>
        </w:rPr>
      </w:pPr>
      <w:r w:rsidRPr="0078437D">
        <w:rPr>
          <w:noProof/>
          <w:lang w:eastAsia="zh-TW"/>
        </w:rPr>
        <w:drawing>
          <wp:inline distT="0" distB="0" distL="0" distR="0" wp14:anchorId="72CB62AE" wp14:editId="1AFF233D">
            <wp:extent cx="3198332" cy="2436602"/>
            <wp:effectExtent l="0" t="0" r="0" b="0"/>
            <wp:docPr id="3" name="圖片 7">
              <a:extLst xmlns:a="http://schemas.openxmlformats.org/drawingml/2006/main">
                <a:ext uri="{FF2B5EF4-FFF2-40B4-BE49-F238E27FC236}">
                  <a16:creationId xmlns:a16="http://schemas.microsoft.com/office/drawing/2014/main" id="{B15ED3CA-F1AD-4BD5-BD60-029C15202E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7">
                      <a:extLst>
                        <a:ext uri="{FF2B5EF4-FFF2-40B4-BE49-F238E27FC236}">
                          <a16:creationId xmlns:a16="http://schemas.microsoft.com/office/drawing/2014/main" id="{B15ED3CA-F1AD-4BD5-BD60-029C15202E7B}"/>
                        </a:ext>
                      </a:extLst>
                    </pic:cNvPr>
                    <pic:cNvPicPr>
                      <a:picLocks noChangeAspect="1"/>
                    </pic:cNvPicPr>
                  </pic:nvPicPr>
                  <pic:blipFill rotWithShape="1">
                    <a:blip r:embed="rId17"/>
                    <a:srcRect l="3018" t="4971" r="27288" b="19006"/>
                    <a:stretch/>
                  </pic:blipFill>
                  <pic:spPr>
                    <a:xfrm>
                      <a:off x="0" y="0"/>
                      <a:ext cx="3208929" cy="2444675"/>
                    </a:xfrm>
                    <a:prstGeom prst="rect">
                      <a:avLst/>
                    </a:prstGeom>
                  </pic:spPr>
                </pic:pic>
              </a:graphicData>
            </a:graphic>
          </wp:inline>
        </w:drawing>
      </w:r>
    </w:p>
    <w:p w14:paraId="4D0614DF" w14:textId="1FD802E3" w:rsidR="0078437D" w:rsidRDefault="0078437D" w:rsidP="0078437D">
      <w:pPr>
        <w:pStyle w:val="2"/>
        <w:spacing w:line="480" w:lineRule="auto"/>
        <w:jc w:val="center"/>
        <w:rPr>
          <w:lang w:eastAsia="zh-TW"/>
        </w:rPr>
      </w:pPr>
      <w:r>
        <w:rPr>
          <w:rFonts w:hint="eastAsia"/>
          <w:lang w:eastAsia="zh-TW"/>
        </w:rPr>
        <w:t>Fi</w:t>
      </w:r>
      <w:r>
        <w:rPr>
          <w:lang w:eastAsia="zh-TW"/>
        </w:rPr>
        <w:t xml:space="preserve">gure </w:t>
      </w:r>
      <w:r w:rsidR="00471BD2">
        <w:rPr>
          <w:lang w:eastAsia="zh-TW"/>
        </w:rPr>
        <w:t>8</w:t>
      </w:r>
      <w:bookmarkStart w:id="0" w:name="_GoBack"/>
      <w:bookmarkEnd w:id="0"/>
      <w:r w:rsidR="00E532D4">
        <w:rPr>
          <w:lang w:eastAsia="zh-TW"/>
        </w:rPr>
        <w:t xml:space="preserve">. </w:t>
      </w:r>
      <w:r w:rsidR="00E532D4" w:rsidRPr="00E532D4">
        <w:rPr>
          <w:lang w:eastAsia="zh-TW"/>
        </w:rPr>
        <w:t>Cyclic voltammetry diagram (scan rate= 0.01V/s)</w:t>
      </w:r>
    </w:p>
    <w:p w14:paraId="5C477376" w14:textId="77777777" w:rsidR="0078437D" w:rsidRDefault="0078437D" w:rsidP="0078437D">
      <w:pPr>
        <w:pStyle w:val="2"/>
        <w:spacing w:line="480" w:lineRule="auto"/>
        <w:jc w:val="center"/>
        <w:rPr>
          <w:lang w:eastAsia="zh-TW"/>
        </w:rPr>
      </w:pPr>
    </w:p>
    <w:p w14:paraId="6D973545" w14:textId="5F5A0AB0" w:rsidR="006F4177" w:rsidRDefault="006F4177" w:rsidP="006F4177">
      <w:pPr>
        <w:pStyle w:val="2"/>
        <w:spacing w:line="480" w:lineRule="auto"/>
        <w:rPr>
          <w:b/>
          <w:lang w:eastAsia="zh-TW"/>
        </w:rPr>
      </w:pPr>
      <w:r>
        <w:rPr>
          <w:b/>
          <w:lang w:eastAsia="zh-TW"/>
        </w:rPr>
        <w:t>Conclusion</w:t>
      </w:r>
    </w:p>
    <w:p w14:paraId="6F66D40F" w14:textId="6EC1065F" w:rsidR="006F4177" w:rsidRPr="00787647" w:rsidRDefault="006F4177" w:rsidP="006A626F">
      <w:pPr>
        <w:pStyle w:val="2"/>
        <w:spacing w:line="480" w:lineRule="auto"/>
        <w:jc w:val="both"/>
        <w:rPr>
          <w:lang w:eastAsia="zh-TW"/>
        </w:rPr>
      </w:pPr>
      <w:r>
        <w:rPr>
          <w:lang w:eastAsia="zh-TW"/>
        </w:rPr>
        <w:t>In this research, we successfully fabricated ITO transparent conductive film by solution-based process and light sintering process</w:t>
      </w:r>
      <w:r w:rsidR="008B7BFE">
        <w:rPr>
          <w:lang w:eastAsia="zh-TW"/>
        </w:rPr>
        <w:t>. TODS and ball milling process could effectively disperse ITO nanoparticle and formulate well-dispersed ink. Suitable binder additive improve</w:t>
      </w:r>
      <w:r w:rsidR="001D700A">
        <w:rPr>
          <w:lang w:eastAsia="zh-TW"/>
        </w:rPr>
        <w:t>d</w:t>
      </w:r>
      <w:r w:rsidR="008B7BFE">
        <w:rPr>
          <w:lang w:eastAsia="zh-TW"/>
        </w:rPr>
        <w:t xml:space="preserve"> the adhesion of nanoparticles and substrate during blade coating and drying process. IPL </w:t>
      </w:r>
      <w:r w:rsidR="001D700A">
        <w:rPr>
          <w:lang w:eastAsia="zh-TW"/>
        </w:rPr>
        <w:t>was applied to sinter ITO nanoparticles</w:t>
      </w:r>
      <w:r w:rsidR="00A7560B">
        <w:rPr>
          <w:lang w:eastAsia="zh-TW"/>
        </w:rPr>
        <w:t xml:space="preserve"> as an effective sintering method for ITO films on polymer substrates</w:t>
      </w:r>
      <w:r w:rsidR="001D700A">
        <w:rPr>
          <w:lang w:eastAsia="zh-TW"/>
        </w:rPr>
        <w:t xml:space="preserve">. </w:t>
      </w:r>
      <w:r w:rsidR="001D700A" w:rsidRPr="001D700A">
        <w:rPr>
          <w:lang w:eastAsia="zh-TW"/>
        </w:rPr>
        <w:t>The best parameter for sintering was 1000 J divided into four small peaks (250 J each) repeated for four times pulses with 3</w:t>
      </w:r>
      <w:r w:rsidR="001D700A">
        <w:rPr>
          <w:lang w:eastAsia="zh-TW"/>
        </w:rPr>
        <w:t>000</w:t>
      </w:r>
      <w:r w:rsidR="001D700A" w:rsidRPr="001D700A">
        <w:rPr>
          <w:lang w:eastAsia="zh-TW"/>
        </w:rPr>
        <w:t xml:space="preserve"> </w:t>
      </w:r>
      <w:proofErr w:type="spellStart"/>
      <w:r w:rsidR="001D700A">
        <w:rPr>
          <w:lang w:eastAsia="zh-TW"/>
        </w:rPr>
        <w:t>m</w:t>
      </w:r>
      <w:r w:rsidR="001D700A" w:rsidRPr="001D700A">
        <w:rPr>
          <w:lang w:eastAsia="zh-TW"/>
        </w:rPr>
        <w:t>s</w:t>
      </w:r>
      <w:proofErr w:type="spellEnd"/>
      <w:r w:rsidR="001D700A" w:rsidRPr="001D700A">
        <w:rPr>
          <w:lang w:eastAsia="zh-TW"/>
        </w:rPr>
        <w:t xml:space="preserve"> time interval. ITO TCFs on PET substrate showed good conductivity (500 Ω/</w:t>
      </w:r>
      <w:r w:rsidR="001D700A">
        <w:rPr>
          <w:rFonts w:cs="Helvetica"/>
          <w:lang w:eastAsia="zh-TW"/>
        </w:rPr>
        <w:t>□</w:t>
      </w:r>
      <w:r w:rsidR="001D700A" w:rsidRPr="001D700A">
        <w:rPr>
          <w:lang w:eastAsia="zh-TW"/>
        </w:rPr>
        <w:t xml:space="preserve">) and transparency (&gt;90 %). Also, the </w:t>
      </w:r>
      <w:r w:rsidR="001D700A">
        <w:rPr>
          <w:lang w:eastAsia="zh-TW"/>
        </w:rPr>
        <w:t>ITO</w:t>
      </w:r>
      <w:r w:rsidR="00621DA6">
        <w:rPr>
          <w:lang w:eastAsia="zh-TW"/>
        </w:rPr>
        <w:t xml:space="preserve"> film</w:t>
      </w:r>
      <w:r w:rsidR="001D700A">
        <w:rPr>
          <w:lang w:eastAsia="zh-TW"/>
        </w:rPr>
        <w:t xml:space="preserve"> </w:t>
      </w:r>
      <w:r w:rsidR="001D700A" w:rsidRPr="001D700A">
        <w:rPr>
          <w:lang w:eastAsia="zh-TW"/>
        </w:rPr>
        <w:t xml:space="preserve">could </w:t>
      </w:r>
      <w:r w:rsidR="001D700A" w:rsidRPr="001D700A">
        <w:rPr>
          <w:lang w:eastAsia="zh-TW"/>
        </w:rPr>
        <w:lastRenderedPageBreak/>
        <w:t>withstand multiple times bending tes</w:t>
      </w:r>
      <w:r w:rsidR="00A7560B">
        <w:rPr>
          <w:lang w:eastAsia="zh-TW"/>
        </w:rPr>
        <w:t xml:space="preserve">t </w:t>
      </w:r>
      <w:r w:rsidR="001D700A" w:rsidRPr="001D700A">
        <w:rPr>
          <w:lang w:eastAsia="zh-TW"/>
        </w:rPr>
        <w:t xml:space="preserve">with small sheet resistance change. </w:t>
      </w:r>
      <w:r w:rsidR="00621DA6">
        <w:rPr>
          <w:lang w:eastAsia="zh-TW"/>
        </w:rPr>
        <w:t xml:space="preserve">For flexible electronics application, ITO conductive film </w:t>
      </w:r>
      <w:r w:rsidR="001D700A" w:rsidRPr="001D700A">
        <w:rPr>
          <w:lang w:eastAsia="zh-TW"/>
        </w:rPr>
        <w:t xml:space="preserve">could </w:t>
      </w:r>
      <w:r w:rsidR="00621DA6">
        <w:rPr>
          <w:lang w:eastAsia="zh-TW"/>
        </w:rPr>
        <w:t>be</w:t>
      </w:r>
      <w:r w:rsidR="001D700A" w:rsidRPr="001D700A">
        <w:rPr>
          <w:lang w:eastAsia="zh-TW"/>
        </w:rPr>
        <w:t xml:space="preserve"> applied as electrode for electrical double layer capacitor.</w:t>
      </w:r>
      <w:r w:rsidR="00621DA6">
        <w:rPr>
          <w:lang w:eastAsia="zh-TW"/>
        </w:rPr>
        <w:t xml:space="preserve"> This research simplifies fabrication process of ITO transparent conductive film through solution-based process and light sintering method, offering a new guideline for flexible electronics fabrication.</w:t>
      </w:r>
    </w:p>
    <w:sectPr w:rsidR="006F4177" w:rsidRPr="00787647" w:rsidSect="004D3C87">
      <w:pgSz w:w="12240" w:h="15840" w:code="1"/>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B9D590" w14:textId="77777777" w:rsidR="00FB0D3A" w:rsidRDefault="00FB0D3A" w:rsidP="002C49C1">
      <w:r>
        <w:separator/>
      </w:r>
    </w:p>
  </w:endnote>
  <w:endnote w:type="continuationSeparator" w:id="0">
    <w:p w14:paraId="475FD05E" w14:textId="77777777" w:rsidR="00FB0D3A" w:rsidRDefault="00FB0D3A" w:rsidP="002C4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C2F5B2" w14:textId="77777777" w:rsidR="00FB0D3A" w:rsidRDefault="00FB0D3A" w:rsidP="002C49C1">
      <w:r>
        <w:separator/>
      </w:r>
    </w:p>
  </w:footnote>
  <w:footnote w:type="continuationSeparator" w:id="0">
    <w:p w14:paraId="0FCFD10A" w14:textId="77777777" w:rsidR="00FB0D3A" w:rsidRDefault="00FB0D3A" w:rsidP="002C4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952033"/>
    <w:multiLevelType w:val="singleLevel"/>
    <w:tmpl w:val="16D8D10C"/>
    <w:lvl w:ilvl="0">
      <w:start w:val="1"/>
      <w:numFmt w:val="decimal"/>
      <w:lvlText w:val="%1)"/>
      <w:lvlJc w:val="left"/>
      <w:pPr>
        <w:tabs>
          <w:tab w:val="num" w:pos="1080"/>
        </w:tabs>
        <w:ind w:left="108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0F7"/>
    <w:rsid w:val="0000094A"/>
    <w:rsid w:val="00006DD2"/>
    <w:rsid w:val="00027559"/>
    <w:rsid w:val="000475EE"/>
    <w:rsid w:val="00056F7B"/>
    <w:rsid w:val="000711F6"/>
    <w:rsid w:val="000C5720"/>
    <w:rsid w:val="000D33F2"/>
    <w:rsid w:val="00197584"/>
    <w:rsid w:val="001C0193"/>
    <w:rsid w:val="001D4EFE"/>
    <w:rsid w:val="001D700A"/>
    <w:rsid w:val="001E3049"/>
    <w:rsid w:val="00212E2A"/>
    <w:rsid w:val="002200A0"/>
    <w:rsid w:val="00261FED"/>
    <w:rsid w:val="0028634C"/>
    <w:rsid w:val="00286388"/>
    <w:rsid w:val="002940B3"/>
    <w:rsid w:val="0029720E"/>
    <w:rsid w:val="002C49C1"/>
    <w:rsid w:val="00315E3D"/>
    <w:rsid w:val="003721E9"/>
    <w:rsid w:val="003A39E1"/>
    <w:rsid w:val="00410E4C"/>
    <w:rsid w:val="0041212C"/>
    <w:rsid w:val="004414C5"/>
    <w:rsid w:val="00471298"/>
    <w:rsid w:val="00471B9C"/>
    <w:rsid w:val="00471BD2"/>
    <w:rsid w:val="004727FA"/>
    <w:rsid w:val="00474B35"/>
    <w:rsid w:val="004D3C87"/>
    <w:rsid w:val="004F30CB"/>
    <w:rsid w:val="005121C8"/>
    <w:rsid w:val="005562F6"/>
    <w:rsid w:val="00585FD8"/>
    <w:rsid w:val="00594825"/>
    <w:rsid w:val="005C5F98"/>
    <w:rsid w:val="005D5C00"/>
    <w:rsid w:val="00621DA6"/>
    <w:rsid w:val="00624EFB"/>
    <w:rsid w:val="006422BE"/>
    <w:rsid w:val="00651324"/>
    <w:rsid w:val="006532EC"/>
    <w:rsid w:val="00682531"/>
    <w:rsid w:val="00687A64"/>
    <w:rsid w:val="006962FD"/>
    <w:rsid w:val="006A626F"/>
    <w:rsid w:val="006B1ED4"/>
    <w:rsid w:val="006D0B95"/>
    <w:rsid w:val="006E7F39"/>
    <w:rsid w:val="006F4177"/>
    <w:rsid w:val="00701C6F"/>
    <w:rsid w:val="0076103A"/>
    <w:rsid w:val="00773750"/>
    <w:rsid w:val="0078437D"/>
    <w:rsid w:val="00787647"/>
    <w:rsid w:val="007D54C2"/>
    <w:rsid w:val="007F122A"/>
    <w:rsid w:val="00846371"/>
    <w:rsid w:val="008B7BFE"/>
    <w:rsid w:val="008C385E"/>
    <w:rsid w:val="008D3E3B"/>
    <w:rsid w:val="008E17C2"/>
    <w:rsid w:val="009407BF"/>
    <w:rsid w:val="00992547"/>
    <w:rsid w:val="00A00866"/>
    <w:rsid w:val="00A16B67"/>
    <w:rsid w:val="00A40F31"/>
    <w:rsid w:val="00A4382B"/>
    <w:rsid w:val="00A7560B"/>
    <w:rsid w:val="00A850F7"/>
    <w:rsid w:val="00AA0DB3"/>
    <w:rsid w:val="00AA256F"/>
    <w:rsid w:val="00AC1523"/>
    <w:rsid w:val="00AD44A3"/>
    <w:rsid w:val="00AE1B86"/>
    <w:rsid w:val="00AE4096"/>
    <w:rsid w:val="00B10443"/>
    <w:rsid w:val="00B16BB8"/>
    <w:rsid w:val="00B2777D"/>
    <w:rsid w:val="00B35F0E"/>
    <w:rsid w:val="00B52EBF"/>
    <w:rsid w:val="00B6514C"/>
    <w:rsid w:val="00BB185A"/>
    <w:rsid w:val="00BB25C6"/>
    <w:rsid w:val="00BC1118"/>
    <w:rsid w:val="00BD20C1"/>
    <w:rsid w:val="00BD70D9"/>
    <w:rsid w:val="00C40ACD"/>
    <w:rsid w:val="00C6204B"/>
    <w:rsid w:val="00C723A2"/>
    <w:rsid w:val="00C94AD8"/>
    <w:rsid w:val="00CB455D"/>
    <w:rsid w:val="00CB6869"/>
    <w:rsid w:val="00CC1035"/>
    <w:rsid w:val="00CE0D1A"/>
    <w:rsid w:val="00D03A8F"/>
    <w:rsid w:val="00D5509C"/>
    <w:rsid w:val="00D70D32"/>
    <w:rsid w:val="00D76F54"/>
    <w:rsid w:val="00DA403D"/>
    <w:rsid w:val="00DB20C9"/>
    <w:rsid w:val="00DC380B"/>
    <w:rsid w:val="00DF6031"/>
    <w:rsid w:val="00E06A34"/>
    <w:rsid w:val="00E30285"/>
    <w:rsid w:val="00E34D83"/>
    <w:rsid w:val="00E36740"/>
    <w:rsid w:val="00E532D4"/>
    <w:rsid w:val="00E77E8C"/>
    <w:rsid w:val="00E82EA1"/>
    <w:rsid w:val="00EC390F"/>
    <w:rsid w:val="00ED17B1"/>
    <w:rsid w:val="00F04D57"/>
    <w:rsid w:val="00F36769"/>
    <w:rsid w:val="00F36ACD"/>
    <w:rsid w:val="00F93A75"/>
    <w:rsid w:val="00FB0D3A"/>
    <w:rsid w:val="00FC1BE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7C3CA1"/>
  <w15:docId w15:val="{39C24453-8D73-4A7C-97A9-8DECA2925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jc w:val="center"/>
    </w:pPr>
    <w:rPr>
      <w:rFonts w:ascii="Helvetica" w:hAnsi="Helvetica"/>
    </w:rPr>
  </w:style>
  <w:style w:type="paragraph" w:styleId="2">
    <w:name w:val="Body Text 2"/>
    <w:basedOn w:val="a"/>
    <w:link w:val="20"/>
    <w:semiHidden/>
    <w:pPr>
      <w:spacing w:line="240" w:lineRule="atLeast"/>
    </w:pPr>
    <w:rPr>
      <w:rFonts w:ascii="Helvetica" w:hAnsi="Helvetica"/>
      <w:snapToGrid w:val="0"/>
      <w:color w:val="000000"/>
    </w:rPr>
  </w:style>
  <w:style w:type="paragraph" w:styleId="a4">
    <w:name w:val="header"/>
    <w:basedOn w:val="a"/>
    <w:link w:val="a5"/>
    <w:uiPriority w:val="99"/>
    <w:unhideWhenUsed/>
    <w:rsid w:val="00BD70D9"/>
    <w:pPr>
      <w:tabs>
        <w:tab w:val="center" w:pos="4153"/>
        <w:tab w:val="right" w:pos="8306"/>
      </w:tabs>
      <w:snapToGrid w:val="0"/>
    </w:pPr>
  </w:style>
  <w:style w:type="character" w:customStyle="1" w:styleId="a5">
    <w:name w:val="頁首 字元"/>
    <w:basedOn w:val="a0"/>
    <w:link w:val="a4"/>
    <w:uiPriority w:val="99"/>
    <w:rsid w:val="00BD70D9"/>
  </w:style>
  <w:style w:type="paragraph" w:styleId="a6">
    <w:name w:val="footer"/>
    <w:basedOn w:val="a"/>
    <w:link w:val="a7"/>
    <w:uiPriority w:val="99"/>
    <w:unhideWhenUsed/>
    <w:rsid w:val="00BD70D9"/>
    <w:pPr>
      <w:tabs>
        <w:tab w:val="center" w:pos="4153"/>
        <w:tab w:val="right" w:pos="8306"/>
      </w:tabs>
      <w:snapToGrid w:val="0"/>
    </w:pPr>
  </w:style>
  <w:style w:type="character" w:customStyle="1" w:styleId="a7">
    <w:name w:val="頁尾 字元"/>
    <w:basedOn w:val="a0"/>
    <w:link w:val="a6"/>
    <w:uiPriority w:val="99"/>
    <w:rsid w:val="00BD70D9"/>
  </w:style>
  <w:style w:type="character" w:styleId="a8">
    <w:name w:val="Hyperlink"/>
    <w:basedOn w:val="a0"/>
    <w:uiPriority w:val="99"/>
    <w:unhideWhenUsed/>
    <w:rsid w:val="00BD70D9"/>
    <w:rPr>
      <w:color w:val="0563C1" w:themeColor="hyperlink"/>
      <w:u w:val="single"/>
    </w:rPr>
  </w:style>
  <w:style w:type="character" w:styleId="a9">
    <w:name w:val="Unresolved Mention"/>
    <w:basedOn w:val="a0"/>
    <w:uiPriority w:val="99"/>
    <w:semiHidden/>
    <w:unhideWhenUsed/>
    <w:rsid w:val="00BD70D9"/>
    <w:rPr>
      <w:color w:val="605E5C"/>
      <w:shd w:val="clear" w:color="auto" w:fill="E1DFDD"/>
    </w:rPr>
  </w:style>
  <w:style w:type="character" w:customStyle="1" w:styleId="20">
    <w:name w:val="本文 2 字元"/>
    <w:basedOn w:val="a0"/>
    <w:link w:val="2"/>
    <w:semiHidden/>
    <w:rsid w:val="006A626F"/>
    <w:rPr>
      <w:rFonts w:ascii="Helvetica" w:hAnsi="Helvetica"/>
      <w:snapToGrid w:val="0"/>
      <w:color w:val="000000"/>
    </w:rPr>
  </w:style>
  <w:style w:type="character" w:styleId="aa">
    <w:name w:val="Placeholder Text"/>
    <w:basedOn w:val="a0"/>
    <w:uiPriority w:val="99"/>
    <w:semiHidden/>
    <w:rsid w:val="00DC380B"/>
    <w:rPr>
      <w:color w:val="808080"/>
    </w:rPr>
  </w:style>
  <w:style w:type="table" w:styleId="ab">
    <w:name w:val="Table Grid"/>
    <w:basedOn w:val="a1"/>
    <w:uiPriority w:val="39"/>
    <w:rsid w:val="00624E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4D3C87"/>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4D3C8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4108467">
      <w:bodyDiv w:val="1"/>
      <w:marLeft w:val="0"/>
      <w:marRight w:val="0"/>
      <w:marTop w:val="0"/>
      <w:marBottom w:val="0"/>
      <w:divBdr>
        <w:top w:val="none" w:sz="0" w:space="0" w:color="auto"/>
        <w:left w:val="none" w:sz="0" w:space="0" w:color="auto"/>
        <w:bottom w:val="none" w:sz="0" w:space="0" w:color="auto"/>
        <w:right w:val="none" w:sz="0" w:space="0" w:color="auto"/>
      </w:divBdr>
    </w:div>
    <w:div w:id="137838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aoy@ntu.edu.tw"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microsoft.com/office/2007/relationships/hdphoto" Target="media/hdphoto1.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io\AppData\Local\Microsoft\Windows\Temporary%20Internet%20Files\Content.Outlook\52ND9ECJ\extended%20abstrac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2C3C27-59BB-45EB-8418-2F7C3682B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extended abstract</Template>
  <TotalTime>392</TotalTime>
  <Pages>7</Pages>
  <Words>1282</Words>
  <Characters>7312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Pressurized Gravure Coating</vt:lpstr>
    </vt:vector>
  </TitlesOfParts>
  <Company>Dupont</Company>
  <LinksUpToDate>false</LinksUpToDate>
  <CharactersWithSpaces>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Pressurized Gravure Coating</dc:title>
  <dc:subject/>
  <dc:creator>Marcio</dc:creator>
  <cp:keywords/>
  <dc:description/>
  <cp:lastModifiedBy>Eric</cp:lastModifiedBy>
  <cp:revision>10</cp:revision>
  <cp:lastPrinted>2020-08-10T08:05:00Z</cp:lastPrinted>
  <dcterms:created xsi:type="dcterms:W3CDTF">2020-08-10T03:04:00Z</dcterms:created>
  <dcterms:modified xsi:type="dcterms:W3CDTF">2020-08-11T15:14:00Z</dcterms:modified>
</cp:coreProperties>
</file>