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F8F30" w14:textId="19B670B4" w:rsidR="008E17C2" w:rsidRDefault="00071623">
      <w:pPr>
        <w:jc w:val="center"/>
        <w:rPr>
          <w:rFonts w:ascii="Helvetica" w:hAnsi="Helvetica"/>
          <w:b/>
          <w:sz w:val="28"/>
          <w:szCs w:val="28"/>
        </w:rPr>
      </w:pPr>
      <w:r w:rsidRPr="00071623">
        <w:rPr>
          <w:rFonts w:ascii="Helvetica" w:hAnsi="Helvetica"/>
          <w:b/>
          <w:bCs/>
          <w:sz w:val="28"/>
          <w:szCs w:val="28"/>
          <w:lang w:val="en-GB"/>
        </w:rPr>
        <w:t xml:space="preserve">Development of </w:t>
      </w:r>
      <w:r>
        <w:rPr>
          <w:rFonts w:ascii="Helvetica" w:hAnsi="Helvetica"/>
          <w:b/>
          <w:bCs/>
          <w:sz w:val="28"/>
          <w:szCs w:val="28"/>
          <w:lang w:val="en-GB"/>
        </w:rPr>
        <w:t>N</w:t>
      </w:r>
      <w:r w:rsidRPr="00071623">
        <w:rPr>
          <w:rFonts w:ascii="Helvetica" w:hAnsi="Helvetica"/>
          <w:b/>
          <w:bCs/>
          <w:sz w:val="28"/>
          <w:szCs w:val="28"/>
          <w:lang w:val="en-GB"/>
        </w:rPr>
        <w:t xml:space="preserve">ew </w:t>
      </w:r>
      <w:r>
        <w:rPr>
          <w:rFonts w:ascii="Helvetica" w:hAnsi="Helvetica"/>
          <w:b/>
          <w:bCs/>
          <w:sz w:val="28"/>
          <w:szCs w:val="28"/>
          <w:lang w:val="en-GB"/>
        </w:rPr>
        <w:t>A</w:t>
      </w:r>
      <w:r w:rsidRPr="00071623">
        <w:rPr>
          <w:rFonts w:ascii="Helvetica" w:hAnsi="Helvetica"/>
          <w:b/>
          <w:bCs/>
          <w:sz w:val="28"/>
          <w:szCs w:val="28"/>
          <w:lang w:val="en-GB"/>
        </w:rPr>
        <w:t xml:space="preserve">morphous and </w:t>
      </w:r>
      <w:r>
        <w:rPr>
          <w:rFonts w:ascii="Helvetica" w:hAnsi="Helvetica"/>
          <w:b/>
          <w:bCs/>
          <w:sz w:val="28"/>
          <w:szCs w:val="28"/>
          <w:lang w:val="en-GB"/>
        </w:rPr>
        <w:t>N</w:t>
      </w:r>
      <w:r w:rsidRPr="00071623">
        <w:rPr>
          <w:rFonts w:ascii="Helvetica" w:hAnsi="Helvetica"/>
          <w:b/>
          <w:bCs/>
          <w:sz w:val="28"/>
          <w:szCs w:val="28"/>
          <w:lang w:val="en-GB"/>
        </w:rPr>
        <w:t xml:space="preserve">anocrystalline </w:t>
      </w:r>
      <w:r>
        <w:rPr>
          <w:rFonts w:ascii="Helvetica" w:hAnsi="Helvetica"/>
          <w:b/>
          <w:bCs/>
          <w:sz w:val="28"/>
          <w:szCs w:val="28"/>
          <w:lang w:val="en-GB"/>
        </w:rPr>
        <w:t>M</w:t>
      </w:r>
      <w:r w:rsidRPr="00071623">
        <w:rPr>
          <w:rFonts w:ascii="Helvetica" w:hAnsi="Helvetica"/>
          <w:b/>
          <w:bCs/>
          <w:sz w:val="28"/>
          <w:szCs w:val="28"/>
          <w:lang w:val="en-GB"/>
        </w:rPr>
        <w:t xml:space="preserve">etallic </w:t>
      </w:r>
      <w:r>
        <w:rPr>
          <w:rFonts w:ascii="Helvetica" w:hAnsi="Helvetica"/>
          <w:b/>
          <w:bCs/>
          <w:sz w:val="28"/>
          <w:szCs w:val="28"/>
          <w:lang w:val="en-GB"/>
        </w:rPr>
        <w:t>F</w:t>
      </w:r>
      <w:r w:rsidRPr="00071623">
        <w:rPr>
          <w:rFonts w:ascii="Helvetica" w:hAnsi="Helvetica"/>
          <w:b/>
          <w:bCs/>
          <w:sz w:val="28"/>
          <w:szCs w:val="28"/>
          <w:lang w:val="en-GB"/>
        </w:rPr>
        <w:t xml:space="preserve">oils for </w:t>
      </w:r>
      <w:r>
        <w:rPr>
          <w:rFonts w:ascii="Helvetica" w:hAnsi="Helvetica"/>
          <w:b/>
          <w:bCs/>
          <w:sz w:val="28"/>
          <w:szCs w:val="28"/>
          <w:lang w:val="en-GB"/>
        </w:rPr>
        <w:t>U</w:t>
      </w:r>
      <w:r w:rsidRPr="00071623">
        <w:rPr>
          <w:rFonts w:ascii="Helvetica" w:hAnsi="Helvetica"/>
          <w:b/>
          <w:bCs/>
          <w:sz w:val="28"/>
          <w:szCs w:val="28"/>
          <w:lang w:val="en-GB"/>
        </w:rPr>
        <w:t xml:space="preserve">se in </w:t>
      </w:r>
      <w:r>
        <w:rPr>
          <w:rFonts w:ascii="Helvetica" w:hAnsi="Helvetica"/>
          <w:b/>
          <w:bCs/>
          <w:sz w:val="28"/>
          <w:szCs w:val="28"/>
          <w:lang w:val="en-GB"/>
        </w:rPr>
        <w:t>E</w:t>
      </w:r>
      <w:r w:rsidRPr="00071623">
        <w:rPr>
          <w:rFonts w:ascii="Helvetica" w:hAnsi="Helvetica"/>
          <w:b/>
          <w:bCs/>
          <w:sz w:val="28"/>
          <w:szCs w:val="28"/>
          <w:lang w:val="en-GB"/>
        </w:rPr>
        <w:t xml:space="preserve">nergy-efficient </w:t>
      </w:r>
      <w:r>
        <w:rPr>
          <w:rFonts w:ascii="Helvetica" w:hAnsi="Helvetica"/>
          <w:b/>
          <w:bCs/>
          <w:sz w:val="28"/>
          <w:szCs w:val="28"/>
          <w:lang w:val="en-GB"/>
        </w:rPr>
        <w:t>D</w:t>
      </w:r>
      <w:r w:rsidRPr="00071623">
        <w:rPr>
          <w:rFonts w:ascii="Helvetica" w:hAnsi="Helvetica"/>
          <w:b/>
          <w:bCs/>
          <w:sz w:val="28"/>
          <w:szCs w:val="28"/>
          <w:lang w:val="en-GB"/>
        </w:rPr>
        <w:t>evices</w:t>
      </w:r>
    </w:p>
    <w:p w14:paraId="6234ECBE" w14:textId="77777777" w:rsidR="00A850F7" w:rsidRPr="00A850F7" w:rsidRDefault="00A850F7">
      <w:pPr>
        <w:jc w:val="center"/>
        <w:rPr>
          <w:rFonts w:ascii="Helvetica" w:hAnsi="Helvetica"/>
          <w:b/>
          <w:sz w:val="28"/>
          <w:szCs w:val="28"/>
        </w:rPr>
      </w:pPr>
    </w:p>
    <w:p w14:paraId="0B16A5FC" w14:textId="0AA4FEC8" w:rsidR="00071623" w:rsidRPr="00071623" w:rsidRDefault="00071623" w:rsidP="00071623">
      <w:pPr>
        <w:jc w:val="center"/>
        <w:rPr>
          <w:rFonts w:ascii="Helvetica" w:hAnsi="Helvetica"/>
          <w:b/>
          <w:bCs/>
          <w:sz w:val="24"/>
          <w:szCs w:val="24"/>
          <w:lang w:val="en-GB"/>
        </w:rPr>
      </w:pPr>
      <w:r w:rsidRPr="00071623">
        <w:rPr>
          <w:rFonts w:ascii="Helvetica" w:hAnsi="Helvetica"/>
          <w:b/>
          <w:bCs/>
          <w:sz w:val="24"/>
          <w:szCs w:val="24"/>
          <w:lang w:val="en-GB"/>
        </w:rPr>
        <w:t>Eric A. Theisen</w:t>
      </w:r>
    </w:p>
    <w:p w14:paraId="236B19BB" w14:textId="76CF01F0" w:rsidR="008E17C2" w:rsidRDefault="00071623" w:rsidP="00071623">
      <w:pPr>
        <w:jc w:val="center"/>
        <w:rPr>
          <w:rFonts w:ascii="Helvetica" w:hAnsi="Helvetica"/>
          <w:b/>
          <w:sz w:val="24"/>
          <w:szCs w:val="24"/>
        </w:rPr>
      </w:pPr>
      <w:r w:rsidRPr="00071623">
        <w:rPr>
          <w:rFonts w:ascii="Helvetica" w:hAnsi="Helvetica"/>
          <w:b/>
          <w:bCs/>
          <w:sz w:val="24"/>
          <w:szCs w:val="24"/>
          <w:lang w:val="en-GB"/>
        </w:rPr>
        <w:t>Metglas, Inc.</w:t>
      </w:r>
    </w:p>
    <w:p w14:paraId="0CA15B8B" w14:textId="77777777" w:rsidR="00A850F7" w:rsidRPr="00A850F7" w:rsidRDefault="00A850F7">
      <w:pPr>
        <w:jc w:val="center"/>
        <w:rPr>
          <w:rFonts w:ascii="Helvetica" w:hAnsi="Helvetica"/>
          <w:b/>
          <w:sz w:val="28"/>
          <w:szCs w:val="28"/>
        </w:rPr>
      </w:pPr>
    </w:p>
    <w:p w14:paraId="25419B52" w14:textId="4CC7CBEF" w:rsidR="008E17C2" w:rsidRDefault="00A850F7">
      <w:pPr>
        <w:jc w:val="center"/>
        <w:rPr>
          <w:rFonts w:ascii="Helvetica" w:hAnsi="Helvetica"/>
        </w:rPr>
      </w:pPr>
      <w:r>
        <w:rPr>
          <w:rFonts w:ascii="Helvetica" w:hAnsi="Helvetica"/>
        </w:rPr>
        <w:t xml:space="preserve">Presented at the </w:t>
      </w:r>
      <w:r w:rsidR="005562F6">
        <w:rPr>
          <w:rFonts w:ascii="Helvetica" w:hAnsi="Helvetica"/>
        </w:rPr>
        <w:t>20</w:t>
      </w:r>
      <w:r>
        <w:rPr>
          <w:rFonts w:ascii="Helvetica" w:hAnsi="Helvetica"/>
          <w:vertAlign w:val="superscript"/>
        </w:rPr>
        <w:t>th</w:t>
      </w:r>
      <w:r>
        <w:rPr>
          <w:rFonts w:ascii="Helvetica" w:hAnsi="Helvetica"/>
        </w:rPr>
        <w:t xml:space="preserve"> International Coating Science and Technology Symposium</w:t>
      </w:r>
    </w:p>
    <w:p w14:paraId="60F058A0" w14:textId="2ED563BA" w:rsidR="008E17C2" w:rsidRDefault="00A850F7">
      <w:pPr>
        <w:jc w:val="center"/>
        <w:rPr>
          <w:rFonts w:ascii="Helvetica" w:hAnsi="Helvetica"/>
        </w:rPr>
      </w:pPr>
      <w:r>
        <w:rPr>
          <w:rFonts w:ascii="Helvetica" w:hAnsi="Helvetica"/>
        </w:rPr>
        <w:t xml:space="preserve">September </w:t>
      </w:r>
      <w:r w:rsidR="00D70D32">
        <w:rPr>
          <w:rFonts w:ascii="Helvetica" w:hAnsi="Helvetica"/>
        </w:rPr>
        <w:t>20</w:t>
      </w:r>
      <w:r>
        <w:rPr>
          <w:rFonts w:ascii="Helvetica" w:hAnsi="Helvetica"/>
        </w:rPr>
        <w:t>-</w:t>
      </w:r>
      <w:r w:rsidR="00D70D32">
        <w:rPr>
          <w:rFonts w:ascii="Helvetica" w:hAnsi="Helvetica"/>
        </w:rPr>
        <w:t>23</w:t>
      </w:r>
      <w:r>
        <w:rPr>
          <w:rFonts w:ascii="Helvetica" w:hAnsi="Helvetica"/>
        </w:rPr>
        <w:t>, 20</w:t>
      </w:r>
      <w:r w:rsidR="00D70D32">
        <w:rPr>
          <w:rFonts w:ascii="Helvetica" w:hAnsi="Helvetica"/>
        </w:rPr>
        <w:t>20</w:t>
      </w:r>
    </w:p>
    <w:p w14:paraId="7F84E908" w14:textId="7973EDA0" w:rsidR="008E17C2" w:rsidRDefault="005121C8">
      <w:pPr>
        <w:jc w:val="center"/>
        <w:rPr>
          <w:rFonts w:ascii="Helvetica" w:hAnsi="Helvetica"/>
        </w:rPr>
      </w:pPr>
      <w:r>
        <w:rPr>
          <w:rFonts w:ascii="Helvetica" w:hAnsi="Helvetica"/>
        </w:rPr>
        <w:t>Minneapolis</w:t>
      </w:r>
      <w:r w:rsidR="00A850F7">
        <w:rPr>
          <w:rFonts w:ascii="Helvetica" w:hAnsi="Helvetica"/>
        </w:rPr>
        <w:t xml:space="preserve">, </w:t>
      </w:r>
      <w:r>
        <w:rPr>
          <w:rFonts w:ascii="Helvetica" w:hAnsi="Helvetica"/>
        </w:rPr>
        <w:t>MN</w:t>
      </w:r>
      <w:r w:rsidR="00A850F7">
        <w:rPr>
          <w:rFonts w:ascii="Helvetica" w:hAnsi="Helvetica"/>
        </w:rPr>
        <w:t>, USA</w:t>
      </w:r>
    </w:p>
    <w:p w14:paraId="28ECE23A" w14:textId="77777777" w:rsidR="008E17C2" w:rsidRDefault="008E17C2">
      <w:pPr>
        <w:jc w:val="center"/>
        <w:rPr>
          <w:rFonts w:ascii="Helvetica" w:hAnsi="Helvetica"/>
        </w:rPr>
      </w:pPr>
    </w:p>
    <w:p w14:paraId="3482734E" w14:textId="3F051CD1" w:rsidR="008E17C2" w:rsidRDefault="00A850F7">
      <w:pPr>
        <w:pStyle w:val="BodyText2"/>
        <w:spacing w:line="480" w:lineRule="auto"/>
        <w:rPr>
          <w:b/>
        </w:rPr>
      </w:pPr>
      <w:r>
        <w:rPr>
          <w:b/>
          <w:u w:val="single"/>
        </w:rPr>
        <w:t>Abstract</w:t>
      </w:r>
      <w:r>
        <w:rPr>
          <w:b/>
        </w:rPr>
        <w:t>:</w:t>
      </w:r>
    </w:p>
    <w:p w14:paraId="3A22E644" w14:textId="19586E97" w:rsidR="00296E0F" w:rsidRDefault="00071623" w:rsidP="00795D4E">
      <w:pPr>
        <w:pStyle w:val="BodyText2"/>
        <w:spacing w:line="480" w:lineRule="auto"/>
        <w:jc w:val="both"/>
        <w:rPr>
          <w:lang w:val="de-DE"/>
        </w:rPr>
      </w:pPr>
      <w:r w:rsidRPr="00071623">
        <w:rPr>
          <w:lang w:val="de-DE"/>
        </w:rPr>
        <w:t xml:space="preserve">Fe-based amorphous and nanocrystalline soft magnetic alloys have been studied for decades for use in applications including high efficiency electrical distribution, power conditioning and advanced motor designs.  Rapid quenching </w:t>
      </w:r>
      <w:r w:rsidR="000B3A6B">
        <w:rPr>
          <w:lang w:val="de-DE"/>
        </w:rPr>
        <w:t>through</w:t>
      </w:r>
      <w:r w:rsidRPr="00071623">
        <w:rPr>
          <w:lang w:val="de-DE"/>
        </w:rPr>
        <w:t xml:space="preserve"> the planar-flow</w:t>
      </w:r>
      <w:r w:rsidR="00CF0B5B">
        <w:rPr>
          <w:lang w:val="de-DE"/>
        </w:rPr>
        <w:t xml:space="preserve"> melt spinning (PFMS)</w:t>
      </w:r>
      <w:r w:rsidRPr="00071623">
        <w:rPr>
          <w:lang w:val="de-DE"/>
        </w:rPr>
        <w:t xml:space="preserve"> casting method is required to achieve the thin metallic glass (TMG) structure and the high cooling rates needed limit the foil thicknesses to </w:t>
      </w:r>
      <w:r w:rsidR="00A446A1">
        <w:rPr>
          <w:lang w:val="de-DE"/>
        </w:rPr>
        <w:t>less than 100</w:t>
      </w:r>
      <w:r w:rsidRPr="00071623">
        <w:rPr>
          <w:lang w:val="de-DE"/>
        </w:rPr>
        <w:t xml:space="preserve"> microns.  Nanocrystalline alloys are obtained through a devitrifcation process in a controlled heat treatment step after the precursor amorphous foil has been cast.  </w:t>
      </w:r>
      <w:r w:rsidR="00296E0F">
        <w:rPr>
          <w:lang w:val="de-DE"/>
        </w:rPr>
        <w:t>T</w:t>
      </w:r>
      <w:r w:rsidRPr="00071623">
        <w:rPr>
          <w:lang w:val="de-DE"/>
        </w:rPr>
        <w:t xml:space="preserve">he underlying phyics of the TMG processing </w:t>
      </w:r>
      <w:r w:rsidR="00296E0F">
        <w:rPr>
          <w:lang w:val="de-DE"/>
        </w:rPr>
        <w:t>is</w:t>
      </w:r>
      <w:r w:rsidRPr="00071623">
        <w:rPr>
          <w:lang w:val="de-DE"/>
        </w:rPr>
        <w:t xml:space="preserve"> compare</w:t>
      </w:r>
      <w:r w:rsidR="00296E0F">
        <w:rPr>
          <w:lang w:val="de-DE"/>
        </w:rPr>
        <w:t xml:space="preserve">d </w:t>
      </w:r>
      <w:r w:rsidRPr="00071623">
        <w:rPr>
          <w:lang w:val="de-DE"/>
        </w:rPr>
        <w:t xml:space="preserve"> to other conventional thin film processes.  </w:t>
      </w:r>
      <w:r w:rsidR="00296E0F">
        <w:rPr>
          <w:lang w:val="de-DE"/>
        </w:rPr>
        <w:t>T</w:t>
      </w:r>
      <w:r w:rsidRPr="00071623">
        <w:rPr>
          <w:lang w:val="de-DE"/>
        </w:rPr>
        <w:t>he next generation of amorphous and nanocrystalline alloys in develpoment today</w:t>
      </w:r>
      <w:r w:rsidR="00296E0F">
        <w:rPr>
          <w:lang w:val="de-DE"/>
        </w:rPr>
        <w:t xml:space="preserve"> are also discussed</w:t>
      </w:r>
      <w:r w:rsidRPr="00071623">
        <w:rPr>
          <w:lang w:val="de-DE"/>
        </w:rPr>
        <w:t>.</w:t>
      </w:r>
    </w:p>
    <w:p w14:paraId="70974349" w14:textId="77777777" w:rsidR="00E0136F" w:rsidRDefault="00E0136F" w:rsidP="00795D4E">
      <w:pPr>
        <w:pStyle w:val="BodyText2"/>
        <w:spacing w:line="480" w:lineRule="auto"/>
        <w:jc w:val="both"/>
        <w:rPr>
          <w:lang w:val="de-DE"/>
        </w:rPr>
      </w:pPr>
    </w:p>
    <w:p w14:paraId="376BA897" w14:textId="163F702D" w:rsidR="00071623" w:rsidRPr="00071623" w:rsidRDefault="00071623" w:rsidP="00071623">
      <w:pPr>
        <w:pStyle w:val="BodyText2"/>
        <w:spacing w:line="480" w:lineRule="auto"/>
        <w:rPr>
          <w:b/>
          <w:bCs/>
          <w:lang w:val="en-GB"/>
        </w:rPr>
      </w:pPr>
      <w:r w:rsidRPr="00296E0F">
        <w:rPr>
          <w:b/>
          <w:bCs/>
          <w:u w:val="single"/>
          <w:lang w:val="en-GB"/>
        </w:rPr>
        <w:t>Introduction</w:t>
      </w:r>
      <w:r w:rsidR="00296E0F">
        <w:rPr>
          <w:b/>
          <w:bCs/>
          <w:lang w:val="en-GB"/>
        </w:rPr>
        <w:t>:</w:t>
      </w:r>
    </w:p>
    <w:p w14:paraId="11DDF687" w14:textId="51CC942B" w:rsidR="00071623" w:rsidRPr="00071623" w:rsidRDefault="00071623" w:rsidP="00795D4E">
      <w:pPr>
        <w:pStyle w:val="BodyText2"/>
        <w:spacing w:line="480" w:lineRule="auto"/>
        <w:jc w:val="both"/>
        <w:rPr>
          <w:lang w:val="de-DE"/>
        </w:rPr>
      </w:pPr>
      <w:r w:rsidRPr="00071623">
        <w:rPr>
          <w:lang w:val="de-DE"/>
        </w:rPr>
        <w:t xml:space="preserve">Fe-based amorphous and nanocrystalline soft magnetic alloys are commonly used in many industrial products [1, 2].  This overview focuses on </w:t>
      </w:r>
      <w:r w:rsidR="00E845F9">
        <w:rPr>
          <w:lang w:val="de-DE"/>
        </w:rPr>
        <w:t>PFMS</w:t>
      </w:r>
      <w:r w:rsidRPr="00071623">
        <w:rPr>
          <w:lang w:val="de-DE"/>
        </w:rPr>
        <w:t xml:space="preserve"> </w:t>
      </w:r>
      <w:r w:rsidR="00A446A1">
        <w:rPr>
          <w:lang w:val="de-DE"/>
        </w:rPr>
        <w:t xml:space="preserve">of </w:t>
      </w:r>
      <w:r w:rsidRPr="00071623">
        <w:rPr>
          <w:lang w:val="de-DE"/>
        </w:rPr>
        <w:t xml:space="preserve">Fe-based amorphous </w:t>
      </w:r>
      <w:r w:rsidR="00A446A1">
        <w:rPr>
          <w:lang w:val="de-DE"/>
        </w:rPr>
        <w:t>foil</w:t>
      </w:r>
      <w:r w:rsidRPr="00071623">
        <w:rPr>
          <w:lang w:val="de-DE"/>
        </w:rPr>
        <w:t xml:space="preserve"> and the precursor amorphous </w:t>
      </w:r>
      <w:r w:rsidR="00A446A1">
        <w:rPr>
          <w:lang w:val="de-DE"/>
        </w:rPr>
        <w:t>foil</w:t>
      </w:r>
      <w:r w:rsidRPr="00071623">
        <w:rPr>
          <w:lang w:val="de-DE"/>
        </w:rPr>
        <w:t xml:space="preserve"> that is annealed into the nanocrystalline state.  Energy efficient transformers are the largest volume application for Fe-based amorphous </w:t>
      </w:r>
      <w:r w:rsidR="00A446A1">
        <w:rPr>
          <w:lang w:val="de-DE"/>
        </w:rPr>
        <w:t>foil</w:t>
      </w:r>
      <w:r w:rsidRPr="00071623">
        <w:rPr>
          <w:lang w:val="de-DE"/>
        </w:rPr>
        <w:t xml:space="preserve">.  The ductile amorphous </w:t>
      </w:r>
      <w:r w:rsidR="00A446A1">
        <w:rPr>
          <w:lang w:val="de-DE"/>
        </w:rPr>
        <w:t>foils</w:t>
      </w:r>
      <w:r w:rsidRPr="00071623">
        <w:rPr>
          <w:lang w:val="de-DE"/>
        </w:rPr>
        <w:t xml:space="preserve"> are stacked, cut to length and formed into a wound distribution transformer core.  Many studies have focused on the optimum conditions to minimize the core loss deterioration and excitation power associated with forming and annealing the </w:t>
      </w:r>
      <w:r w:rsidR="000B3A6B">
        <w:rPr>
          <w:lang w:val="de-DE"/>
        </w:rPr>
        <w:t xml:space="preserve">transformer </w:t>
      </w:r>
      <w:r w:rsidRPr="00071623">
        <w:rPr>
          <w:lang w:val="de-DE"/>
        </w:rPr>
        <w:t xml:space="preserve">cores [3, 4].   </w:t>
      </w:r>
    </w:p>
    <w:p w14:paraId="0B475F1B" w14:textId="75FD3CB4" w:rsidR="00071623" w:rsidRDefault="00071623" w:rsidP="00795D4E">
      <w:pPr>
        <w:pStyle w:val="BodyText2"/>
        <w:spacing w:line="480" w:lineRule="auto"/>
        <w:jc w:val="both"/>
        <w:rPr>
          <w:lang w:val="de-DE"/>
        </w:rPr>
      </w:pPr>
      <w:r w:rsidRPr="00071623">
        <w:rPr>
          <w:lang w:val="de-DE"/>
        </w:rPr>
        <w:t xml:space="preserve">Nanocrystalline alloys are emerging as the premier products for medium to high frequency applications such as saturable reactor cores, inductors and switch-mode power supplies [5].  Nanocrystalline devices are made from </w:t>
      </w:r>
      <w:r w:rsidR="00A446A1">
        <w:rPr>
          <w:lang w:val="de-DE"/>
        </w:rPr>
        <w:t>foil</w:t>
      </w:r>
      <w:r w:rsidRPr="00071623">
        <w:rPr>
          <w:lang w:val="de-DE"/>
        </w:rPr>
        <w:t xml:space="preserve"> that is typically cast fully amorphous and then formed into a tape wound or block core shape.  The core is annealed </w:t>
      </w:r>
      <w:r w:rsidR="000B3A6B">
        <w:rPr>
          <w:lang w:val="de-DE"/>
        </w:rPr>
        <w:t xml:space="preserve">above the onset crystallization temperature </w:t>
      </w:r>
      <w:r w:rsidRPr="00071623">
        <w:rPr>
          <w:lang w:val="de-DE"/>
        </w:rPr>
        <w:t xml:space="preserve">to achieve the nanocrystalline structure and then typically impregnated with </w:t>
      </w:r>
      <w:r w:rsidR="000B3A6B">
        <w:rPr>
          <w:lang w:val="de-DE"/>
        </w:rPr>
        <w:t xml:space="preserve">a dielectric </w:t>
      </w:r>
      <w:r w:rsidRPr="00071623">
        <w:rPr>
          <w:lang w:val="de-DE"/>
        </w:rPr>
        <w:t xml:space="preserve">glue </w:t>
      </w:r>
      <w:r w:rsidR="000B3A6B">
        <w:rPr>
          <w:lang w:val="de-DE"/>
        </w:rPr>
        <w:t xml:space="preserve">to insulate the laminations </w:t>
      </w:r>
      <w:r w:rsidRPr="00071623">
        <w:rPr>
          <w:lang w:val="de-DE"/>
        </w:rPr>
        <w:t xml:space="preserve">[6].  The mechanical brittleness of the </w:t>
      </w:r>
      <w:r w:rsidR="00A446A1">
        <w:rPr>
          <w:lang w:val="de-DE"/>
        </w:rPr>
        <w:t>foil</w:t>
      </w:r>
      <w:r w:rsidRPr="00071623">
        <w:rPr>
          <w:lang w:val="de-DE"/>
        </w:rPr>
        <w:t xml:space="preserve"> after the nanocrystallization step prevents </w:t>
      </w:r>
      <w:r w:rsidRPr="00071623">
        <w:rPr>
          <w:lang w:val="de-DE"/>
        </w:rPr>
        <w:lastRenderedPageBreak/>
        <w:t xml:space="preserve">one from annealing the </w:t>
      </w:r>
      <w:r w:rsidR="00A446A1">
        <w:rPr>
          <w:lang w:val="de-DE"/>
        </w:rPr>
        <w:t>foil</w:t>
      </w:r>
      <w:r w:rsidRPr="00071623">
        <w:rPr>
          <w:lang w:val="de-DE"/>
        </w:rPr>
        <w:t xml:space="preserve"> first and then forming it into a core.  </w:t>
      </w:r>
      <w:r w:rsidR="000B3A6B">
        <w:rPr>
          <w:lang w:val="de-DE"/>
        </w:rPr>
        <w:t>Tape wound or stacked core shapes are the most common method to form an electrical component out of foil.  However, other methods include</w:t>
      </w:r>
      <w:r w:rsidRPr="00071623">
        <w:rPr>
          <w:lang w:val="de-DE"/>
        </w:rPr>
        <w:t xml:space="preserve"> </w:t>
      </w:r>
      <w:r w:rsidR="00E80178">
        <w:rPr>
          <w:lang w:val="de-DE"/>
        </w:rPr>
        <w:t xml:space="preserve">crushing </w:t>
      </w:r>
      <w:r w:rsidRPr="00071623">
        <w:rPr>
          <w:lang w:val="de-DE"/>
        </w:rPr>
        <w:t xml:space="preserve">the nanocrystalline </w:t>
      </w:r>
      <w:r w:rsidR="00A446A1">
        <w:rPr>
          <w:lang w:val="de-DE"/>
        </w:rPr>
        <w:t>foil</w:t>
      </w:r>
      <w:r w:rsidRPr="00071623">
        <w:rPr>
          <w:lang w:val="de-DE"/>
        </w:rPr>
        <w:t xml:space="preserve"> </w:t>
      </w:r>
      <w:r w:rsidR="00E80178">
        <w:rPr>
          <w:lang w:val="de-DE"/>
        </w:rPr>
        <w:t xml:space="preserve">into a </w:t>
      </w:r>
      <w:r w:rsidRPr="00071623">
        <w:rPr>
          <w:lang w:val="de-DE"/>
        </w:rPr>
        <w:t xml:space="preserve"> powder </w:t>
      </w:r>
      <w:r w:rsidR="00E80178">
        <w:rPr>
          <w:lang w:val="de-DE"/>
        </w:rPr>
        <w:t>or flake, t</w:t>
      </w:r>
      <w:r w:rsidR="000B3A6B">
        <w:rPr>
          <w:lang w:val="de-DE"/>
        </w:rPr>
        <w:t xml:space="preserve">hen presing and sintering the material to form more complicated geometric shapes </w:t>
      </w:r>
      <w:r w:rsidRPr="00071623">
        <w:rPr>
          <w:lang w:val="de-DE"/>
        </w:rPr>
        <w:t xml:space="preserve">[7].  </w:t>
      </w:r>
    </w:p>
    <w:p w14:paraId="0F0EC8E5" w14:textId="77777777" w:rsidR="00E0136F" w:rsidRDefault="00E0136F" w:rsidP="00795D4E">
      <w:pPr>
        <w:pStyle w:val="BodyText2"/>
        <w:spacing w:line="480" w:lineRule="auto"/>
        <w:jc w:val="both"/>
        <w:rPr>
          <w:lang w:val="de-DE"/>
        </w:rPr>
      </w:pPr>
    </w:p>
    <w:p w14:paraId="4AFDE5DA" w14:textId="5E6DD351" w:rsidR="00E845F9" w:rsidRPr="00071623" w:rsidRDefault="00E845F9" w:rsidP="00795D4E">
      <w:pPr>
        <w:pStyle w:val="BodyText2"/>
        <w:spacing w:line="480" w:lineRule="auto"/>
        <w:jc w:val="both"/>
        <w:rPr>
          <w:b/>
          <w:bCs/>
          <w:lang w:val="en-GB"/>
        </w:rPr>
      </w:pPr>
      <w:r>
        <w:rPr>
          <w:b/>
          <w:bCs/>
          <w:u w:val="single"/>
          <w:lang w:val="en-GB"/>
        </w:rPr>
        <w:t>Planar-flow Melting Spinning Process</w:t>
      </w:r>
      <w:r>
        <w:rPr>
          <w:b/>
          <w:bCs/>
          <w:lang w:val="en-GB"/>
        </w:rPr>
        <w:t>:</w:t>
      </w:r>
    </w:p>
    <w:p w14:paraId="7DFC16A6" w14:textId="2FD3739F" w:rsidR="00E845F9" w:rsidRDefault="00A5534F" w:rsidP="00795D4E">
      <w:pPr>
        <w:pStyle w:val="BodyText2"/>
        <w:spacing w:line="480" w:lineRule="auto"/>
        <w:jc w:val="both"/>
        <w:rPr>
          <w:lang w:val="de-DE"/>
        </w:rPr>
      </w:pPr>
      <w:r>
        <w:rPr>
          <w:lang w:val="de-DE"/>
        </w:rPr>
        <w:t xml:space="preserve">The PFMS process is used extensively to produce amorphous foil.  A schematic of the process is shown in Figure 1.  Molten metal held in a ceramic crucible flows by applied head pressure through a nozzle onto a rotating quenching wheel.  </w:t>
      </w:r>
      <w:r w:rsidRPr="00A5534F">
        <w:t>The linear wheel speed, the applied pressure</w:t>
      </w:r>
      <w:r w:rsidR="000877D1">
        <w:t>, the nozzle breadth</w:t>
      </w:r>
      <w:r w:rsidRPr="00A5534F">
        <w:t xml:space="preserve"> and the gap spacing between the nozzle and the wheel are the primary control parameters for the PFMS process.  </w:t>
      </w:r>
      <w:r w:rsidR="000877D1">
        <w:t xml:space="preserve">Figure 2 shows the contact zone </w:t>
      </w:r>
      <w:r w:rsidR="00CF0B5B">
        <w:t xml:space="preserve">where a molten metal puddle bridges the region </w:t>
      </w:r>
      <w:r w:rsidR="000877D1">
        <w:t xml:space="preserve">between the nozzle and the wheel.  </w:t>
      </w:r>
      <w:r w:rsidRPr="00A5534F">
        <w:t xml:space="preserve">The process </w:t>
      </w:r>
      <w:r w:rsidR="002C7C02">
        <w:t xml:space="preserve">has </w:t>
      </w:r>
      <w:r w:rsidRPr="00A5534F">
        <w:t>fundamental stability limits</w:t>
      </w:r>
      <w:r>
        <w:t xml:space="preserve"> </w:t>
      </w:r>
      <w:r w:rsidR="00795D4E">
        <w:t xml:space="preserve">related to the capillary pressure at the upstream meniscus </w:t>
      </w:r>
      <w:r>
        <w:t xml:space="preserve">and have </w:t>
      </w:r>
      <w:r w:rsidR="000877D1">
        <w:t xml:space="preserve">been </w:t>
      </w:r>
      <w:r>
        <w:t>detailed elsewhere [</w:t>
      </w:r>
      <w:r w:rsidR="00FD2307">
        <w:t>8</w:t>
      </w:r>
      <w:r>
        <w:t xml:space="preserve">, </w:t>
      </w:r>
      <w:r w:rsidR="00FD2307">
        <w:t>9</w:t>
      </w:r>
      <w:r>
        <w:t>]</w:t>
      </w:r>
      <w:r w:rsidRPr="00A5534F">
        <w:t xml:space="preserve">. </w:t>
      </w:r>
      <w:r>
        <w:rPr>
          <w:lang w:val="de-DE"/>
        </w:rPr>
        <w:t xml:space="preserve">  </w:t>
      </w:r>
    </w:p>
    <w:p w14:paraId="6FE03E16" w14:textId="7FF0A988" w:rsidR="00E845F9" w:rsidRDefault="00E845F9" w:rsidP="00E845F9">
      <w:pPr>
        <w:pStyle w:val="BodyText2"/>
        <w:spacing w:line="480" w:lineRule="auto"/>
        <w:jc w:val="center"/>
        <w:rPr>
          <w:lang w:val="de-DE"/>
        </w:rPr>
      </w:pPr>
      <w:r w:rsidRPr="00E845F9">
        <w:drawing>
          <wp:inline distT="0" distB="0" distL="0" distR="0" wp14:anchorId="7F87DBE2" wp14:editId="587FF8B5">
            <wp:extent cx="2727010" cy="349871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8517" cy="3539139"/>
                    </a:xfrm>
                    <a:prstGeom prst="rect">
                      <a:avLst/>
                    </a:prstGeom>
                    <a:noFill/>
                    <a:ln>
                      <a:noFill/>
                    </a:ln>
                  </pic:spPr>
                </pic:pic>
              </a:graphicData>
            </a:graphic>
          </wp:inline>
        </w:drawing>
      </w:r>
    </w:p>
    <w:p w14:paraId="2A8F371B" w14:textId="34689D14" w:rsidR="00E73A06" w:rsidRPr="00E73A06" w:rsidRDefault="00E73A06" w:rsidP="00E73A06">
      <w:pPr>
        <w:pStyle w:val="BodyText2"/>
        <w:spacing w:line="480" w:lineRule="auto"/>
        <w:jc w:val="center"/>
        <w:rPr>
          <w:lang w:val="de-DE"/>
        </w:rPr>
      </w:pPr>
      <w:r w:rsidRPr="00071623">
        <w:rPr>
          <w:b/>
          <w:lang w:val="de-DE"/>
        </w:rPr>
        <w:t>Figure 1</w:t>
      </w:r>
      <w:r>
        <w:rPr>
          <w:b/>
          <w:lang w:val="de-DE"/>
        </w:rPr>
        <w:t xml:space="preserve">: </w:t>
      </w:r>
      <w:r>
        <w:rPr>
          <w:lang w:val="de-DE"/>
        </w:rPr>
        <w:t>Schematic of the PFMS process.</w:t>
      </w:r>
    </w:p>
    <w:p w14:paraId="76976F21" w14:textId="77777777" w:rsidR="00E73A06" w:rsidRDefault="00E73A06" w:rsidP="00E845F9">
      <w:pPr>
        <w:pStyle w:val="BodyText2"/>
        <w:spacing w:line="480" w:lineRule="auto"/>
        <w:jc w:val="center"/>
        <w:rPr>
          <w:lang w:val="de-DE"/>
        </w:rPr>
      </w:pPr>
    </w:p>
    <w:p w14:paraId="7BD0BAA9" w14:textId="5B1F9BE8" w:rsidR="00E845F9" w:rsidRDefault="00E845F9" w:rsidP="00E845F9">
      <w:pPr>
        <w:pStyle w:val="BodyText2"/>
        <w:spacing w:line="480" w:lineRule="auto"/>
        <w:jc w:val="center"/>
        <w:rPr>
          <w:lang w:val="de-DE"/>
        </w:rPr>
      </w:pPr>
      <w:r>
        <w:rPr>
          <w:rFonts w:ascii="Times New Roman" w:hAnsi="Times New Roman"/>
          <w:bCs/>
          <w:noProof/>
        </w:rPr>
        <w:drawing>
          <wp:inline distT="0" distB="0" distL="0" distR="0" wp14:anchorId="1EFF5433" wp14:editId="79B37611">
            <wp:extent cx="5634562" cy="3148642"/>
            <wp:effectExtent l="0" t="0" r="4445" b="0"/>
            <wp:docPr id="3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647" cy="3187806"/>
                    </a:xfrm>
                    <a:prstGeom prst="rect">
                      <a:avLst/>
                    </a:prstGeom>
                    <a:noFill/>
                    <a:ln>
                      <a:noFill/>
                    </a:ln>
                  </pic:spPr>
                </pic:pic>
              </a:graphicData>
            </a:graphic>
          </wp:inline>
        </w:drawing>
      </w:r>
    </w:p>
    <w:p w14:paraId="56CA5F24" w14:textId="7C4D88CB" w:rsidR="00E845F9" w:rsidRPr="00071623" w:rsidRDefault="00E845F9" w:rsidP="00E73A06">
      <w:pPr>
        <w:pStyle w:val="BodyText2"/>
        <w:spacing w:line="480" w:lineRule="auto"/>
        <w:jc w:val="center"/>
        <w:rPr>
          <w:lang w:val="de-DE"/>
        </w:rPr>
      </w:pPr>
      <w:r w:rsidRPr="00071623">
        <w:rPr>
          <w:b/>
          <w:lang w:val="de-DE"/>
        </w:rPr>
        <w:t xml:space="preserve">Figure </w:t>
      </w:r>
      <w:r w:rsidR="00E73A06">
        <w:rPr>
          <w:b/>
          <w:lang w:val="de-DE"/>
        </w:rPr>
        <w:t xml:space="preserve">2: </w:t>
      </w:r>
      <w:r w:rsidR="00E73A06">
        <w:rPr>
          <w:lang w:val="de-DE"/>
        </w:rPr>
        <w:t>Schematic of the conta</w:t>
      </w:r>
      <w:r w:rsidR="00E73A06" w:rsidRPr="00E73A06">
        <w:rPr>
          <w:lang w:val="de-DE"/>
        </w:rPr>
        <w:t>ct zone between the nozzle and wheel in the PFMS process.</w:t>
      </w:r>
    </w:p>
    <w:p w14:paraId="2211E95C" w14:textId="77777777" w:rsidR="00E37CFE" w:rsidRDefault="00E37CFE" w:rsidP="00E845F9">
      <w:pPr>
        <w:pStyle w:val="BodyText2"/>
        <w:spacing w:line="480" w:lineRule="auto"/>
        <w:rPr>
          <w:b/>
          <w:lang w:val="de-DE"/>
        </w:rPr>
      </w:pPr>
    </w:p>
    <w:p w14:paraId="38B38A6C" w14:textId="6D824B72" w:rsidR="005B4AA6" w:rsidRDefault="00E37CFE" w:rsidP="00795D4E">
      <w:pPr>
        <w:pStyle w:val="BodyText2"/>
        <w:spacing w:line="480" w:lineRule="auto"/>
        <w:jc w:val="both"/>
        <w:rPr>
          <w:lang w:val="de-DE"/>
        </w:rPr>
      </w:pPr>
      <w:r w:rsidRPr="00E37CFE">
        <w:rPr>
          <w:lang w:val="de-DE"/>
        </w:rPr>
        <w:t>The PFMS process has many geometric simila</w:t>
      </w:r>
      <w:r w:rsidR="00CF0B5B">
        <w:rPr>
          <w:lang w:val="de-DE"/>
        </w:rPr>
        <w:t>rities to other types of coating fl</w:t>
      </w:r>
      <w:r w:rsidR="00E80178">
        <w:rPr>
          <w:lang w:val="de-DE"/>
        </w:rPr>
        <w:t>ow processes.  Table 1 lists ty</w:t>
      </w:r>
      <w:r w:rsidR="00CF0B5B">
        <w:rPr>
          <w:lang w:val="de-DE"/>
        </w:rPr>
        <w:t>p</w:t>
      </w:r>
      <w:r w:rsidR="00E80178">
        <w:rPr>
          <w:lang w:val="de-DE"/>
        </w:rPr>
        <w:t>i</w:t>
      </w:r>
      <w:r w:rsidR="00CF0B5B">
        <w:rPr>
          <w:lang w:val="de-DE"/>
        </w:rPr>
        <w:t>cal process paratemeters, material properties</w:t>
      </w:r>
      <w:r w:rsidR="00955D68">
        <w:rPr>
          <w:lang w:val="de-DE"/>
        </w:rPr>
        <w:t xml:space="preserve"> for an FeBSi alloy</w:t>
      </w:r>
      <w:r w:rsidR="00CF0B5B">
        <w:rPr>
          <w:lang w:val="de-DE"/>
        </w:rPr>
        <w:t xml:space="preserve"> and dimensionaless groups associate with the PFSM process.  Inertial and surface tension forces </w:t>
      </w:r>
      <w:r w:rsidR="00E80178">
        <w:rPr>
          <w:lang w:val="de-DE"/>
        </w:rPr>
        <w:t>balance in the contact zone making the PFMS</w:t>
      </w:r>
      <w:r w:rsidR="00CF0B5B">
        <w:rPr>
          <w:lang w:val="de-DE"/>
        </w:rPr>
        <w:t xml:space="preserve"> process </w:t>
      </w:r>
      <w:r w:rsidR="00E80178">
        <w:rPr>
          <w:lang w:val="de-DE"/>
        </w:rPr>
        <w:t>different from the</w:t>
      </w:r>
      <w:r w:rsidR="00CF0B5B">
        <w:rPr>
          <w:lang w:val="de-DE"/>
        </w:rPr>
        <w:t xml:space="preserve"> viscous forces </w:t>
      </w:r>
      <w:r w:rsidR="00E80178">
        <w:rPr>
          <w:lang w:val="de-DE"/>
        </w:rPr>
        <w:t>that</w:t>
      </w:r>
      <w:r w:rsidR="00CF0B5B">
        <w:rPr>
          <w:lang w:val="de-DE"/>
        </w:rPr>
        <w:t xml:space="preserve"> are commonly associated with coating flows.</w:t>
      </w:r>
      <w:r w:rsidR="005B4AA6">
        <w:rPr>
          <w:lang w:val="de-DE"/>
        </w:rPr>
        <w:t xml:space="preserve">  </w:t>
      </w:r>
    </w:p>
    <w:p w14:paraId="35B23F0B" w14:textId="4AC4CF97" w:rsidR="00E37CFE" w:rsidRDefault="005B4AA6" w:rsidP="00795D4E">
      <w:pPr>
        <w:pStyle w:val="BodyText2"/>
        <w:spacing w:line="480" w:lineRule="auto"/>
        <w:jc w:val="both"/>
        <w:rPr>
          <w:lang w:val="de-DE"/>
        </w:rPr>
      </w:pPr>
      <w:r>
        <w:rPr>
          <w:lang w:val="de-DE"/>
        </w:rPr>
        <w:t>High heat tr</w:t>
      </w:r>
      <w:r w:rsidR="00D31E68">
        <w:rPr>
          <w:lang w:val="de-DE"/>
        </w:rPr>
        <w:t>an</w:t>
      </w:r>
      <w:r>
        <w:rPr>
          <w:lang w:val="de-DE"/>
        </w:rPr>
        <w:t>s</w:t>
      </w:r>
      <w:r w:rsidR="00D31E68">
        <w:rPr>
          <w:lang w:val="de-DE"/>
        </w:rPr>
        <w:t>fer rates also distinguish PFMS from conventional coating flows.  Cooling rate</w:t>
      </w:r>
      <w:r>
        <w:rPr>
          <w:lang w:val="de-DE"/>
        </w:rPr>
        <w:t>s</w:t>
      </w:r>
      <w:r w:rsidR="00D31E68">
        <w:rPr>
          <w:lang w:val="de-DE"/>
        </w:rPr>
        <w:t xml:space="preserve"> on the order of 10</w:t>
      </w:r>
      <w:r w:rsidR="00D31E68" w:rsidRPr="00D31E68">
        <w:rPr>
          <w:vertAlign w:val="superscript"/>
          <w:lang w:val="de-DE"/>
        </w:rPr>
        <w:t>5</w:t>
      </w:r>
      <w:r w:rsidR="00E80178">
        <w:rPr>
          <w:lang w:val="de-DE"/>
        </w:rPr>
        <w:t xml:space="preserve"> C/s are required to supp</w:t>
      </w:r>
      <w:r w:rsidR="00D31E68">
        <w:rPr>
          <w:lang w:val="de-DE"/>
        </w:rPr>
        <w:t>ress crystallization and produce a fully amorphous foil.</w:t>
      </w:r>
      <w:r>
        <w:rPr>
          <w:lang w:val="de-DE"/>
        </w:rPr>
        <w:t xml:space="preserve">  The critical cooling rates are stongly dependent on the chemical composition of the alloy.  </w:t>
      </w:r>
      <w:r w:rsidR="00E80178">
        <w:rPr>
          <w:lang w:val="de-DE"/>
        </w:rPr>
        <w:t>Boron and silicon are added to the iron to improve the glass forming ability</w:t>
      </w:r>
      <w:r w:rsidR="00B16C78">
        <w:rPr>
          <w:lang w:val="de-DE"/>
        </w:rPr>
        <w:t xml:space="preserve"> for the transformer core alloy.</w:t>
      </w:r>
      <w:r w:rsidR="00E80178">
        <w:rPr>
          <w:lang w:val="de-DE"/>
        </w:rPr>
        <w:t xml:space="preserve"> </w:t>
      </w:r>
      <w:r w:rsidR="00B16C78">
        <w:rPr>
          <w:lang w:val="de-DE"/>
        </w:rPr>
        <w:t xml:space="preserve"> </w:t>
      </w:r>
      <w:r>
        <w:rPr>
          <w:lang w:val="de-DE"/>
        </w:rPr>
        <w:t>Bulk metallic glasses (BMGs) show amorphous structure over length scale</w:t>
      </w:r>
      <w:r w:rsidR="00A446A1">
        <w:rPr>
          <w:lang w:val="de-DE"/>
        </w:rPr>
        <w:t>s on the orde</w:t>
      </w:r>
      <w:r>
        <w:rPr>
          <w:lang w:val="de-DE"/>
        </w:rPr>
        <w:t>r of c</w:t>
      </w:r>
      <w:r w:rsidR="00955D68">
        <w:rPr>
          <w:lang w:val="de-DE"/>
        </w:rPr>
        <w:t>entimeter</w:t>
      </w:r>
      <w:r>
        <w:rPr>
          <w:lang w:val="de-DE"/>
        </w:rPr>
        <w:t xml:space="preserve">s and require lower cooling rates to suppress crystallization.  </w:t>
      </w:r>
      <w:r w:rsidR="00A446A1">
        <w:rPr>
          <w:lang w:val="de-DE"/>
        </w:rPr>
        <w:t xml:space="preserve">BMGs use specific mixtures of different sized elements to act as a steric hindrance to prevent crystalization.  </w:t>
      </w:r>
      <w:r>
        <w:rPr>
          <w:lang w:val="de-DE"/>
        </w:rPr>
        <w:t xml:space="preserve">TMGs </w:t>
      </w:r>
      <w:r w:rsidR="00A446A1">
        <w:rPr>
          <w:lang w:val="de-DE"/>
        </w:rPr>
        <w:t xml:space="preserve">utilize high cooling rates and </w:t>
      </w:r>
      <w:r>
        <w:rPr>
          <w:lang w:val="de-DE"/>
        </w:rPr>
        <w:t>are l</w:t>
      </w:r>
      <w:r w:rsidR="00B16C78">
        <w:rPr>
          <w:lang w:val="de-DE"/>
        </w:rPr>
        <w:t>i</w:t>
      </w:r>
      <w:r>
        <w:rPr>
          <w:lang w:val="de-DE"/>
        </w:rPr>
        <w:t xml:space="preserve">mited to thicknesses of less than ~ </w:t>
      </w:r>
      <w:r w:rsidR="00B16C78">
        <w:rPr>
          <w:lang w:val="de-DE"/>
        </w:rPr>
        <w:t>5</w:t>
      </w:r>
      <w:r>
        <w:rPr>
          <w:lang w:val="de-DE"/>
        </w:rPr>
        <w:t>0 microns</w:t>
      </w:r>
      <w:r w:rsidR="00F5366E">
        <w:rPr>
          <w:lang w:val="de-DE"/>
        </w:rPr>
        <w:t xml:space="preserve"> in the heat extraction direction</w:t>
      </w:r>
      <w:r>
        <w:rPr>
          <w:lang w:val="de-DE"/>
        </w:rPr>
        <w:t>.</w:t>
      </w:r>
    </w:p>
    <w:p w14:paraId="086BA237" w14:textId="243AD712" w:rsidR="00A446A1" w:rsidRDefault="00A446A1" w:rsidP="00E845F9">
      <w:pPr>
        <w:pStyle w:val="BodyText2"/>
        <w:spacing w:line="480" w:lineRule="auto"/>
        <w:rPr>
          <w:lang w:val="de-DE"/>
        </w:rPr>
      </w:pPr>
    </w:p>
    <w:p w14:paraId="0059A522" w14:textId="0A20C9CB" w:rsidR="00A446A1" w:rsidRDefault="00A446A1" w:rsidP="00E845F9">
      <w:pPr>
        <w:pStyle w:val="BodyText2"/>
        <w:spacing w:line="480" w:lineRule="auto"/>
        <w:rPr>
          <w:lang w:val="de-DE"/>
        </w:rPr>
      </w:pPr>
    </w:p>
    <w:p w14:paraId="26EA2C51" w14:textId="00B2F0CB" w:rsidR="00A446A1" w:rsidRDefault="00A446A1" w:rsidP="00E845F9">
      <w:pPr>
        <w:pStyle w:val="BodyText2"/>
        <w:spacing w:line="480" w:lineRule="auto"/>
        <w:rPr>
          <w:lang w:val="de-DE"/>
        </w:rPr>
      </w:pPr>
    </w:p>
    <w:p w14:paraId="44FFE093" w14:textId="0D0E9FDD" w:rsidR="00E845F9" w:rsidRDefault="00E37CFE" w:rsidP="00A446A1">
      <w:pPr>
        <w:pStyle w:val="BodyText2"/>
        <w:spacing w:line="480" w:lineRule="auto"/>
        <w:jc w:val="center"/>
        <w:rPr>
          <w:lang w:val="de-DE"/>
        </w:rPr>
      </w:pPr>
      <w:r w:rsidRPr="00071623">
        <w:rPr>
          <w:b/>
          <w:lang w:val="de-DE"/>
        </w:rPr>
        <w:t>Table 1</w:t>
      </w:r>
      <w:r w:rsidRPr="00071623">
        <w:rPr>
          <w:lang w:val="de-DE"/>
        </w:rPr>
        <w:t xml:space="preserve">: </w:t>
      </w:r>
      <w:r w:rsidR="00795D4E">
        <w:rPr>
          <w:lang w:val="de-DE"/>
        </w:rPr>
        <w:t>Process parameter and matrial properties that yield key dimensionless groups for PFMS.</w:t>
      </w:r>
    </w:p>
    <w:p w14:paraId="4F82E93A" w14:textId="77CB54F4" w:rsidR="00822A5A" w:rsidRDefault="00822A5A" w:rsidP="00822A5A">
      <w:pPr>
        <w:pStyle w:val="BodyText2"/>
        <w:spacing w:line="480" w:lineRule="auto"/>
        <w:jc w:val="center"/>
        <w:rPr>
          <w:lang w:val="de-DE"/>
        </w:rPr>
      </w:pPr>
      <w:r w:rsidRPr="00822A5A">
        <w:drawing>
          <wp:inline distT="0" distB="0" distL="0" distR="0" wp14:anchorId="52DF30B0" wp14:editId="250307AF">
            <wp:extent cx="2484407" cy="3172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124" cy="3202346"/>
                    </a:xfrm>
                    <a:prstGeom prst="rect">
                      <a:avLst/>
                    </a:prstGeom>
                    <a:noFill/>
                    <a:ln>
                      <a:noFill/>
                    </a:ln>
                  </pic:spPr>
                </pic:pic>
              </a:graphicData>
            </a:graphic>
          </wp:inline>
        </w:drawing>
      </w:r>
    </w:p>
    <w:p w14:paraId="4E87185D" w14:textId="77777777" w:rsidR="00E73A06" w:rsidRPr="00071623" w:rsidRDefault="00E73A06" w:rsidP="00822A5A">
      <w:pPr>
        <w:pStyle w:val="BodyText2"/>
        <w:spacing w:line="480" w:lineRule="auto"/>
        <w:jc w:val="center"/>
        <w:rPr>
          <w:lang w:val="de-DE"/>
        </w:rPr>
      </w:pPr>
    </w:p>
    <w:p w14:paraId="58BF672F" w14:textId="469AC710" w:rsidR="00071623" w:rsidRPr="00071623" w:rsidRDefault="00B16C78" w:rsidP="00071623">
      <w:pPr>
        <w:pStyle w:val="BodyText2"/>
        <w:spacing w:line="480" w:lineRule="auto"/>
        <w:rPr>
          <w:b/>
          <w:bCs/>
          <w:lang w:val="en-GB"/>
        </w:rPr>
      </w:pPr>
      <w:r>
        <w:rPr>
          <w:b/>
          <w:bCs/>
          <w:lang w:val="en-GB"/>
        </w:rPr>
        <w:t xml:space="preserve">Soft Magnetic </w:t>
      </w:r>
      <w:r w:rsidR="00071623" w:rsidRPr="00071623">
        <w:rPr>
          <w:b/>
          <w:bCs/>
          <w:lang w:val="en-GB"/>
        </w:rPr>
        <w:t xml:space="preserve">Amorphous </w:t>
      </w:r>
      <w:r w:rsidR="005F2050">
        <w:rPr>
          <w:b/>
          <w:bCs/>
          <w:lang w:val="en-GB"/>
        </w:rPr>
        <w:t>Foil</w:t>
      </w:r>
      <w:r w:rsidR="00071623" w:rsidRPr="00071623">
        <w:rPr>
          <w:b/>
          <w:bCs/>
          <w:lang w:val="en-GB"/>
        </w:rPr>
        <w:t xml:space="preserve"> Properties</w:t>
      </w:r>
      <w:r>
        <w:rPr>
          <w:b/>
          <w:bCs/>
          <w:lang w:val="en-GB"/>
        </w:rPr>
        <w:t>:</w:t>
      </w:r>
    </w:p>
    <w:p w14:paraId="3C43EDCB" w14:textId="4BFEEE69" w:rsidR="00071623" w:rsidRDefault="00071623" w:rsidP="00795D4E">
      <w:pPr>
        <w:pStyle w:val="BodyText2"/>
        <w:spacing w:line="480" w:lineRule="auto"/>
        <w:jc w:val="both"/>
        <w:rPr>
          <w:lang w:val="en-GB"/>
        </w:rPr>
      </w:pPr>
      <w:r w:rsidRPr="00071623">
        <w:rPr>
          <w:lang w:val="en-GB"/>
        </w:rPr>
        <w:t xml:space="preserve">The commercially available Metglas®2605SA1 alloy </w:t>
      </w:r>
      <w:proofErr w:type="gramStart"/>
      <w:r w:rsidRPr="00071623">
        <w:rPr>
          <w:lang w:val="en-GB"/>
        </w:rPr>
        <w:t>has long been used</w:t>
      </w:r>
      <w:proofErr w:type="gramEnd"/>
      <w:r w:rsidRPr="00071623">
        <w:rPr>
          <w:lang w:val="en-GB"/>
        </w:rPr>
        <w:t xml:space="preserve"> in high efficiency transformers and other power electronic applications.  The </w:t>
      </w:r>
      <w:r w:rsidR="00795D4E">
        <w:rPr>
          <w:lang w:val="en-GB"/>
        </w:rPr>
        <w:t>foil</w:t>
      </w:r>
      <w:r w:rsidRPr="00071623">
        <w:rPr>
          <w:lang w:val="en-GB"/>
        </w:rPr>
        <w:t xml:space="preserve"> has a saturation induction of 1.56 T and most transformers designed with it have an operating induction of 1.35 T.  </w:t>
      </w:r>
      <w:r w:rsidR="00795D4E">
        <w:rPr>
          <w:lang w:val="en-GB"/>
        </w:rPr>
        <w:t xml:space="preserve">Conventional </w:t>
      </w:r>
      <w:r w:rsidRPr="00071623">
        <w:rPr>
          <w:lang w:val="en-GB"/>
        </w:rPr>
        <w:t>Si-steel laminations have higher saturation induction levels (~1.8-2.0 T) but also have higher core losses</w:t>
      </w:r>
      <w:r w:rsidR="00B16C78">
        <w:rPr>
          <w:lang w:val="en-GB"/>
        </w:rPr>
        <w:t xml:space="preserve"> due to their crystalline structure and the increased thickness contributing to hysteresis and eddy current losses respectively</w:t>
      </w:r>
      <w:r w:rsidRPr="00071623">
        <w:rPr>
          <w:lang w:val="en-GB"/>
        </w:rPr>
        <w:t>.  Fe</w:t>
      </w:r>
      <w:r w:rsidR="00B16C78">
        <w:rPr>
          <w:lang w:val="en-GB"/>
        </w:rPr>
        <w:t>-</w:t>
      </w:r>
      <w:r w:rsidRPr="00071623">
        <w:rPr>
          <w:lang w:val="en-GB"/>
        </w:rPr>
        <w:t xml:space="preserve">Co based amorphous alloys have saturation levels of 1.8 T but they are prohibitively expensive as a transformer core material.  Table </w:t>
      </w:r>
      <w:r w:rsidR="00F5366E">
        <w:rPr>
          <w:lang w:val="en-GB"/>
        </w:rPr>
        <w:t>2</w:t>
      </w:r>
      <w:r w:rsidRPr="00071623">
        <w:rPr>
          <w:lang w:val="en-GB"/>
        </w:rPr>
        <w:t xml:space="preserve"> shows the typical magnetic properties of various amorphous and nanocrystalline alloys compared with an M3 Si-steel.  </w:t>
      </w:r>
      <w:r w:rsidR="00795D4E">
        <w:rPr>
          <w:lang w:val="en-GB"/>
        </w:rPr>
        <w:t xml:space="preserve">Note that amorphous foil is typically ten times thinner than Si-steel laminations.  </w:t>
      </w:r>
      <w:r w:rsidRPr="00071623">
        <w:rPr>
          <w:lang w:val="en-GB"/>
        </w:rPr>
        <w:t xml:space="preserve">The core losses depend on frequency and induction levels whereas Table </w:t>
      </w:r>
      <w:r w:rsidR="00795D4E">
        <w:rPr>
          <w:lang w:val="en-GB"/>
        </w:rPr>
        <w:t>2</w:t>
      </w:r>
      <w:r w:rsidRPr="00071623">
        <w:rPr>
          <w:lang w:val="en-GB"/>
        </w:rPr>
        <w:t xml:space="preserve"> only shows the DC coercivity.  (Note that the high saturation nanocrystalline alloy is not commercially available today and the properties are given elsewhere [</w:t>
      </w:r>
      <w:r w:rsidR="00FD2307">
        <w:rPr>
          <w:lang w:val="en-GB"/>
        </w:rPr>
        <w:t>10</w:t>
      </w:r>
      <w:r w:rsidRPr="00071623">
        <w:rPr>
          <w:lang w:val="en-GB"/>
        </w:rPr>
        <w:t>].)  While the coercivity and core losses of an amorphous transformer are only a fraction of a similarly rated Si-steel based transformer, the lower operating induction requires a larger core size.  The footprint of an amorphous transformer has historically been larger than a conventional transformer</w:t>
      </w:r>
      <w:r w:rsidR="00795D4E">
        <w:rPr>
          <w:lang w:val="en-GB"/>
        </w:rPr>
        <w:t xml:space="preserve"> but that is changing because efficiency regulations have forced transformer designs to operate at lower induction levels</w:t>
      </w:r>
      <w:r w:rsidRPr="00071623">
        <w:rPr>
          <w:lang w:val="en-GB"/>
        </w:rPr>
        <w:t xml:space="preserve"> [</w:t>
      </w:r>
      <w:r w:rsidR="00FD2307">
        <w:rPr>
          <w:lang w:val="en-GB"/>
        </w:rPr>
        <w:t>11</w:t>
      </w:r>
      <w:r w:rsidRPr="00071623">
        <w:rPr>
          <w:lang w:val="en-GB"/>
        </w:rPr>
        <w:t>].</w:t>
      </w:r>
    </w:p>
    <w:p w14:paraId="0F818B57" w14:textId="77777777" w:rsidR="00E73A06" w:rsidRPr="00071623" w:rsidRDefault="00E73A06" w:rsidP="00071623">
      <w:pPr>
        <w:pStyle w:val="BodyText2"/>
        <w:spacing w:line="480" w:lineRule="auto"/>
        <w:rPr>
          <w:lang w:val="en-GB"/>
        </w:rPr>
      </w:pPr>
    </w:p>
    <w:p w14:paraId="2D28B78A" w14:textId="34B729B3" w:rsidR="00071623" w:rsidRPr="00071623" w:rsidRDefault="00071623" w:rsidP="00071623">
      <w:pPr>
        <w:pStyle w:val="BodyText2"/>
        <w:spacing w:line="480" w:lineRule="auto"/>
        <w:rPr>
          <w:lang w:val="de-DE"/>
        </w:rPr>
      </w:pPr>
      <w:r w:rsidRPr="00071623">
        <w:rPr>
          <w:b/>
          <w:lang w:val="de-DE"/>
        </w:rPr>
        <w:t xml:space="preserve">Table </w:t>
      </w:r>
      <w:r w:rsidR="00E73A06">
        <w:rPr>
          <w:b/>
          <w:lang w:val="de-DE"/>
        </w:rPr>
        <w:t>2</w:t>
      </w:r>
      <w:r w:rsidRPr="00071623">
        <w:rPr>
          <w:lang w:val="de-DE"/>
        </w:rPr>
        <w:t xml:space="preserve">: Magnetic properties of various amorphous and nanocrystalline alloys compared with M3 Si-steel.  </w:t>
      </w:r>
    </w:p>
    <w:tbl>
      <w:tblPr>
        <w:tblW w:w="9312" w:type="dxa"/>
        <w:jc w:val="center"/>
        <w:tblLook w:val="04A0" w:firstRow="1" w:lastRow="0" w:firstColumn="1" w:lastColumn="0" w:noHBand="0" w:noVBand="1"/>
      </w:tblPr>
      <w:tblGrid>
        <w:gridCol w:w="1628"/>
        <w:gridCol w:w="1800"/>
        <w:gridCol w:w="1440"/>
        <w:gridCol w:w="1476"/>
        <w:gridCol w:w="1484"/>
        <w:gridCol w:w="1484"/>
      </w:tblGrid>
      <w:tr w:rsidR="00A446A1" w:rsidRPr="00071623" w14:paraId="7B80D6B6" w14:textId="77777777" w:rsidTr="00A446A1">
        <w:trPr>
          <w:trHeight w:val="615"/>
          <w:jc w:val="center"/>
        </w:trPr>
        <w:tc>
          <w:tcPr>
            <w:tcW w:w="1628" w:type="dxa"/>
            <w:tcBorders>
              <w:top w:val="single" w:sz="8" w:space="0" w:color="auto"/>
              <w:left w:val="single" w:sz="8" w:space="0" w:color="auto"/>
              <w:bottom w:val="single" w:sz="8" w:space="0" w:color="auto"/>
              <w:right w:val="nil"/>
            </w:tcBorders>
            <w:shd w:val="clear" w:color="auto" w:fill="auto"/>
            <w:vAlign w:val="center"/>
            <w:hideMark/>
          </w:tcPr>
          <w:p w14:paraId="0E160440" w14:textId="77777777" w:rsidR="00A446A1" w:rsidRPr="00071623" w:rsidRDefault="00A446A1" w:rsidP="00071623">
            <w:pPr>
              <w:pStyle w:val="BodyText2"/>
              <w:spacing w:line="480" w:lineRule="auto"/>
              <w:rPr>
                <w:b/>
                <w:lang w:val="de-DE"/>
              </w:rPr>
            </w:pPr>
            <w:r w:rsidRPr="00071623">
              <w:rPr>
                <w:b/>
                <w:lang w:val="de-DE"/>
              </w:rPr>
              <w:t>Alloy Designation</w:t>
            </w:r>
          </w:p>
        </w:tc>
        <w:tc>
          <w:tcPr>
            <w:tcW w:w="180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DADB9ED" w14:textId="77777777" w:rsidR="00A446A1" w:rsidRPr="00071623" w:rsidRDefault="00A446A1" w:rsidP="00071623">
            <w:pPr>
              <w:pStyle w:val="BodyText2"/>
              <w:spacing w:line="480" w:lineRule="auto"/>
              <w:rPr>
                <w:b/>
                <w:lang w:val="de-DE"/>
              </w:rPr>
            </w:pPr>
            <w:r w:rsidRPr="00071623">
              <w:rPr>
                <w:b/>
                <w:lang w:val="de-DE"/>
              </w:rPr>
              <w:t>Saturation Induction (T)</w:t>
            </w:r>
          </w:p>
        </w:tc>
        <w:tc>
          <w:tcPr>
            <w:tcW w:w="1440" w:type="dxa"/>
            <w:tcBorders>
              <w:top w:val="single" w:sz="8" w:space="0" w:color="auto"/>
              <w:left w:val="nil"/>
              <w:bottom w:val="single" w:sz="8" w:space="0" w:color="auto"/>
              <w:right w:val="single" w:sz="4" w:space="0" w:color="auto"/>
            </w:tcBorders>
            <w:vAlign w:val="center"/>
          </w:tcPr>
          <w:p w14:paraId="0CC2BF86" w14:textId="77777777" w:rsidR="00A446A1" w:rsidRPr="00071623" w:rsidRDefault="00A446A1" w:rsidP="00071623">
            <w:pPr>
              <w:pStyle w:val="BodyText2"/>
              <w:spacing w:line="480" w:lineRule="auto"/>
              <w:rPr>
                <w:b/>
                <w:lang w:val="de-DE"/>
              </w:rPr>
            </w:pPr>
            <w:r w:rsidRPr="00071623">
              <w:rPr>
                <w:b/>
                <w:lang w:val="de-DE"/>
              </w:rPr>
              <w:t>Coercivity (A/m)</w:t>
            </w:r>
          </w:p>
        </w:tc>
        <w:tc>
          <w:tcPr>
            <w:tcW w:w="1476" w:type="dxa"/>
            <w:tcBorders>
              <w:top w:val="single" w:sz="8" w:space="0" w:color="auto"/>
              <w:left w:val="single" w:sz="4" w:space="0" w:color="auto"/>
              <w:bottom w:val="single" w:sz="8" w:space="0" w:color="auto"/>
              <w:right w:val="single" w:sz="4" w:space="0" w:color="auto"/>
            </w:tcBorders>
            <w:vAlign w:val="center"/>
          </w:tcPr>
          <w:p w14:paraId="263A2610" w14:textId="77777777" w:rsidR="00A446A1" w:rsidRPr="00071623" w:rsidRDefault="00A446A1" w:rsidP="00071623">
            <w:pPr>
              <w:pStyle w:val="BodyText2"/>
              <w:spacing w:line="480" w:lineRule="auto"/>
              <w:rPr>
                <w:b/>
                <w:lang w:val="de-DE"/>
              </w:rPr>
            </w:pPr>
            <w:r w:rsidRPr="00071623">
              <w:rPr>
                <w:b/>
                <w:lang w:val="de-DE"/>
              </w:rPr>
              <w:t>Stacking factor (%)</w:t>
            </w:r>
          </w:p>
        </w:tc>
        <w:tc>
          <w:tcPr>
            <w:tcW w:w="1484" w:type="dxa"/>
            <w:tcBorders>
              <w:top w:val="single" w:sz="8" w:space="0" w:color="auto"/>
              <w:left w:val="single" w:sz="4" w:space="0" w:color="auto"/>
              <w:bottom w:val="single" w:sz="8" w:space="0" w:color="auto"/>
              <w:right w:val="single" w:sz="4" w:space="0" w:color="auto"/>
            </w:tcBorders>
          </w:tcPr>
          <w:p w14:paraId="3DEA8408" w14:textId="548FDC9B" w:rsidR="00A446A1" w:rsidRPr="00071623" w:rsidRDefault="00A446A1" w:rsidP="00071623">
            <w:pPr>
              <w:pStyle w:val="BodyText2"/>
              <w:spacing w:line="480" w:lineRule="auto"/>
              <w:rPr>
                <w:b/>
                <w:lang w:val="de-DE"/>
              </w:rPr>
            </w:pPr>
            <w:r>
              <w:rPr>
                <w:b/>
                <w:lang w:val="de-DE"/>
              </w:rPr>
              <w:t>Thickness (microns)</w:t>
            </w:r>
          </w:p>
        </w:tc>
        <w:tc>
          <w:tcPr>
            <w:tcW w:w="14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D2F800" w14:textId="4434F011" w:rsidR="00A446A1" w:rsidRPr="00071623" w:rsidRDefault="00A446A1" w:rsidP="00071623">
            <w:pPr>
              <w:pStyle w:val="BodyText2"/>
              <w:spacing w:line="480" w:lineRule="auto"/>
              <w:rPr>
                <w:b/>
                <w:lang w:val="de-DE"/>
              </w:rPr>
            </w:pPr>
            <w:r w:rsidRPr="00071623">
              <w:rPr>
                <w:b/>
                <w:lang w:val="de-DE"/>
              </w:rPr>
              <w:t>Chemistry</w:t>
            </w:r>
          </w:p>
        </w:tc>
      </w:tr>
      <w:tr w:rsidR="00A446A1" w:rsidRPr="00071623" w14:paraId="6D449E53"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18BA0599" w14:textId="77777777" w:rsidR="00A446A1" w:rsidRPr="00071623" w:rsidRDefault="00A446A1" w:rsidP="00071623">
            <w:pPr>
              <w:pStyle w:val="BodyText2"/>
              <w:spacing w:line="480" w:lineRule="auto"/>
              <w:rPr>
                <w:lang w:val="de-DE"/>
              </w:rPr>
            </w:pPr>
            <w:r w:rsidRPr="00071623">
              <w:rPr>
                <w:lang w:val="de-DE"/>
              </w:rPr>
              <w:t>2605SA1</w:t>
            </w:r>
          </w:p>
        </w:tc>
        <w:tc>
          <w:tcPr>
            <w:tcW w:w="1800" w:type="dxa"/>
            <w:tcBorders>
              <w:top w:val="nil"/>
              <w:left w:val="nil"/>
              <w:bottom w:val="single" w:sz="4" w:space="0" w:color="auto"/>
              <w:right w:val="single" w:sz="4" w:space="0" w:color="auto"/>
            </w:tcBorders>
            <w:shd w:val="clear" w:color="auto" w:fill="auto"/>
            <w:noWrap/>
            <w:vAlign w:val="center"/>
            <w:hideMark/>
          </w:tcPr>
          <w:p w14:paraId="33756D43" w14:textId="77777777" w:rsidR="00A446A1" w:rsidRPr="00071623" w:rsidRDefault="00A446A1" w:rsidP="00A446A1">
            <w:pPr>
              <w:pStyle w:val="BodyText2"/>
              <w:spacing w:line="480" w:lineRule="auto"/>
              <w:jc w:val="center"/>
              <w:rPr>
                <w:lang w:val="de-DE"/>
              </w:rPr>
            </w:pPr>
            <w:r w:rsidRPr="00071623">
              <w:rPr>
                <w:lang w:val="de-DE"/>
              </w:rPr>
              <w:t>1.56</w:t>
            </w:r>
          </w:p>
        </w:tc>
        <w:tc>
          <w:tcPr>
            <w:tcW w:w="1440" w:type="dxa"/>
            <w:tcBorders>
              <w:top w:val="nil"/>
              <w:left w:val="nil"/>
              <w:bottom w:val="single" w:sz="4" w:space="0" w:color="auto"/>
              <w:right w:val="single" w:sz="4" w:space="0" w:color="auto"/>
            </w:tcBorders>
            <w:vAlign w:val="center"/>
          </w:tcPr>
          <w:p w14:paraId="3AED8366" w14:textId="77777777" w:rsidR="00A446A1" w:rsidRPr="00071623" w:rsidRDefault="00A446A1" w:rsidP="00A446A1">
            <w:pPr>
              <w:pStyle w:val="BodyText2"/>
              <w:spacing w:line="480" w:lineRule="auto"/>
              <w:jc w:val="center"/>
              <w:rPr>
                <w:lang w:val="de-DE"/>
              </w:rPr>
            </w:pPr>
            <w:r w:rsidRPr="00071623">
              <w:rPr>
                <w:lang w:val="de-DE"/>
              </w:rPr>
              <w:t>1.2</w:t>
            </w:r>
          </w:p>
        </w:tc>
        <w:tc>
          <w:tcPr>
            <w:tcW w:w="1476" w:type="dxa"/>
            <w:tcBorders>
              <w:top w:val="nil"/>
              <w:left w:val="single" w:sz="4" w:space="0" w:color="auto"/>
              <w:bottom w:val="single" w:sz="4" w:space="0" w:color="auto"/>
              <w:right w:val="single" w:sz="4" w:space="0" w:color="auto"/>
            </w:tcBorders>
            <w:vAlign w:val="center"/>
          </w:tcPr>
          <w:p w14:paraId="44D6B4A6" w14:textId="77777777" w:rsidR="00A446A1" w:rsidRPr="00071623" w:rsidRDefault="00A446A1" w:rsidP="00A446A1">
            <w:pPr>
              <w:pStyle w:val="BodyText2"/>
              <w:spacing w:line="480" w:lineRule="auto"/>
              <w:jc w:val="center"/>
              <w:rPr>
                <w:lang w:val="de-DE"/>
              </w:rPr>
            </w:pPr>
            <w:r w:rsidRPr="00071623">
              <w:rPr>
                <w:lang w:val="de-DE"/>
              </w:rPr>
              <w:t>88</w:t>
            </w:r>
          </w:p>
        </w:tc>
        <w:tc>
          <w:tcPr>
            <w:tcW w:w="1484" w:type="dxa"/>
            <w:tcBorders>
              <w:top w:val="nil"/>
              <w:left w:val="single" w:sz="4" w:space="0" w:color="auto"/>
              <w:bottom w:val="single" w:sz="4" w:space="0" w:color="auto"/>
              <w:right w:val="single" w:sz="4" w:space="0" w:color="auto"/>
            </w:tcBorders>
          </w:tcPr>
          <w:p w14:paraId="42BE0441" w14:textId="119C56EF" w:rsidR="00A446A1" w:rsidRPr="00071623" w:rsidRDefault="00A446A1" w:rsidP="00A446A1">
            <w:pPr>
              <w:pStyle w:val="BodyText2"/>
              <w:spacing w:line="480" w:lineRule="auto"/>
              <w:jc w:val="center"/>
              <w:rPr>
                <w:lang w:val="de-DE"/>
              </w:rPr>
            </w:pPr>
            <w:r>
              <w:rPr>
                <w:lang w:val="de-DE"/>
              </w:rPr>
              <w:t>23</w:t>
            </w: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7BDD20EA" w14:textId="68D80829" w:rsidR="00A446A1" w:rsidRPr="00071623" w:rsidRDefault="00A446A1" w:rsidP="00071623">
            <w:pPr>
              <w:pStyle w:val="BodyText2"/>
              <w:spacing w:line="480" w:lineRule="auto"/>
              <w:rPr>
                <w:lang w:val="de-DE"/>
              </w:rPr>
            </w:pPr>
            <w:r w:rsidRPr="00071623">
              <w:rPr>
                <w:lang w:val="de-DE"/>
              </w:rPr>
              <w:t>FeBSi</w:t>
            </w:r>
          </w:p>
        </w:tc>
      </w:tr>
      <w:tr w:rsidR="00A446A1" w:rsidRPr="00071623" w14:paraId="6A787A12"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7C7AD6F3" w14:textId="77777777" w:rsidR="00A446A1" w:rsidRPr="00071623" w:rsidRDefault="00A446A1" w:rsidP="00071623">
            <w:pPr>
              <w:pStyle w:val="BodyText2"/>
              <w:spacing w:line="480" w:lineRule="auto"/>
              <w:rPr>
                <w:lang w:val="de-DE"/>
              </w:rPr>
            </w:pPr>
            <w:r w:rsidRPr="00071623">
              <w:rPr>
                <w:lang w:val="de-DE"/>
              </w:rPr>
              <w:t>2605HB1M</w:t>
            </w:r>
          </w:p>
        </w:tc>
        <w:tc>
          <w:tcPr>
            <w:tcW w:w="1800" w:type="dxa"/>
            <w:tcBorders>
              <w:top w:val="nil"/>
              <w:left w:val="nil"/>
              <w:bottom w:val="single" w:sz="4" w:space="0" w:color="auto"/>
              <w:right w:val="single" w:sz="4" w:space="0" w:color="auto"/>
            </w:tcBorders>
            <w:shd w:val="clear" w:color="auto" w:fill="auto"/>
            <w:noWrap/>
            <w:vAlign w:val="center"/>
            <w:hideMark/>
          </w:tcPr>
          <w:p w14:paraId="0F9531C6" w14:textId="77777777" w:rsidR="00A446A1" w:rsidRPr="00071623" w:rsidRDefault="00A446A1" w:rsidP="00A446A1">
            <w:pPr>
              <w:pStyle w:val="BodyText2"/>
              <w:spacing w:line="480" w:lineRule="auto"/>
              <w:jc w:val="center"/>
              <w:rPr>
                <w:lang w:val="de-DE"/>
              </w:rPr>
            </w:pPr>
            <w:r w:rsidRPr="00071623">
              <w:rPr>
                <w:lang w:val="de-DE"/>
              </w:rPr>
              <w:t>1.63</w:t>
            </w:r>
          </w:p>
        </w:tc>
        <w:tc>
          <w:tcPr>
            <w:tcW w:w="1440" w:type="dxa"/>
            <w:tcBorders>
              <w:top w:val="nil"/>
              <w:left w:val="nil"/>
              <w:bottom w:val="single" w:sz="4" w:space="0" w:color="auto"/>
              <w:right w:val="single" w:sz="4" w:space="0" w:color="auto"/>
            </w:tcBorders>
            <w:vAlign w:val="center"/>
          </w:tcPr>
          <w:p w14:paraId="69A33864" w14:textId="77777777" w:rsidR="00A446A1" w:rsidRPr="00071623" w:rsidRDefault="00A446A1" w:rsidP="00A446A1">
            <w:pPr>
              <w:pStyle w:val="BodyText2"/>
              <w:spacing w:line="480" w:lineRule="auto"/>
              <w:jc w:val="center"/>
              <w:rPr>
                <w:lang w:val="de-DE"/>
              </w:rPr>
            </w:pPr>
            <w:r w:rsidRPr="00071623">
              <w:rPr>
                <w:lang w:val="de-DE"/>
              </w:rPr>
              <w:t>1.1</w:t>
            </w:r>
          </w:p>
        </w:tc>
        <w:tc>
          <w:tcPr>
            <w:tcW w:w="1476" w:type="dxa"/>
            <w:tcBorders>
              <w:top w:val="nil"/>
              <w:left w:val="single" w:sz="4" w:space="0" w:color="auto"/>
              <w:bottom w:val="single" w:sz="4" w:space="0" w:color="auto"/>
              <w:right w:val="single" w:sz="4" w:space="0" w:color="auto"/>
            </w:tcBorders>
            <w:vAlign w:val="center"/>
          </w:tcPr>
          <w:p w14:paraId="35B74EC3" w14:textId="77777777" w:rsidR="00A446A1" w:rsidRPr="00071623" w:rsidRDefault="00A446A1" w:rsidP="00A446A1">
            <w:pPr>
              <w:pStyle w:val="BodyText2"/>
              <w:spacing w:line="480" w:lineRule="auto"/>
              <w:jc w:val="center"/>
              <w:rPr>
                <w:lang w:val="de-DE"/>
              </w:rPr>
            </w:pPr>
            <w:r w:rsidRPr="00071623">
              <w:rPr>
                <w:lang w:val="de-DE"/>
              </w:rPr>
              <w:t>89</w:t>
            </w:r>
          </w:p>
        </w:tc>
        <w:tc>
          <w:tcPr>
            <w:tcW w:w="1484" w:type="dxa"/>
            <w:tcBorders>
              <w:top w:val="nil"/>
              <w:left w:val="single" w:sz="4" w:space="0" w:color="auto"/>
              <w:bottom w:val="single" w:sz="4" w:space="0" w:color="auto"/>
              <w:right w:val="single" w:sz="4" w:space="0" w:color="auto"/>
            </w:tcBorders>
          </w:tcPr>
          <w:p w14:paraId="7AEA7B67" w14:textId="1BD25003" w:rsidR="00A446A1" w:rsidRPr="00071623" w:rsidRDefault="00A446A1" w:rsidP="00A446A1">
            <w:pPr>
              <w:pStyle w:val="BodyText2"/>
              <w:spacing w:line="480" w:lineRule="auto"/>
              <w:jc w:val="center"/>
              <w:rPr>
                <w:lang w:val="de-DE"/>
              </w:rPr>
            </w:pPr>
            <w:r>
              <w:rPr>
                <w:lang w:val="de-DE"/>
              </w:rPr>
              <w:t>25</w:t>
            </w: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54556109" w14:textId="0EB61905" w:rsidR="00A446A1" w:rsidRPr="00071623" w:rsidRDefault="00A446A1" w:rsidP="00071623">
            <w:pPr>
              <w:pStyle w:val="BodyText2"/>
              <w:spacing w:line="480" w:lineRule="auto"/>
              <w:rPr>
                <w:lang w:val="de-DE"/>
              </w:rPr>
            </w:pPr>
            <w:r w:rsidRPr="00071623">
              <w:rPr>
                <w:lang w:val="de-DE"/>
              </w:rPr>
              <w:t>FeBSi</w:t>
            </w:r>
          </w:p>
        </w:tc>
      </w:tr>
      <w:tr w:rsidR="00A446A1" w:rsidRPr="00071623" w14:paraId="6D008F85"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2AF002A5" w14:textId="77777777" w:rsidR="00A446A1" w:rsidRPr="00071623" w:rsidRDefault="00A446A1" w:rsidP="00071623">
            <w:pPr>
              <w:pStyle w:val="BodyText2"/>
              <w:spacing w:line="480" w:lineRule="auto"/>
              <w:rPr>
                <w:lang w:val="de-DE"/>
              </w:rPr>
            </w:pPr>
            <w:r w:rsidRPr="00071623">
              <w:rPr>
                <w:lang w:val="de-DE"/>
              </w:rPr>
              <w:t>2605CO</w:t>
            </w:r>
          </w:p>
        </w:tc>
        <w:tc>
          <w:tcPr>
            <w:tcW w:w="1800" w:type="dxa"/>
            <w:tcBorders>
              <w:top w:val="nil"/>
              <w:left w:val="nil"/>
              <w:bottom w:val="single" w:sz="4" w:space="0" w:color="auto"/>
              <w:right w:val="single" w:sz="4" w:space="0" w:color="auto"/>
            </w:tcBorders>
            <w:shd w:val="clear" w:color="auto" w:fill="auto"/>
            <w:noWrap/>
            <w:vAlign w:val="center"/>
            <w:hideMark/>
          </w:tcPr>
          <w:p w14:paraId="54A24251" w14:textId="77777777" w:rsidR="00A446A1" w:rsidRPr="00071623" w:rsidRDefault="00A446A1" w:rsidP="00A446A1">
            <w:pPr>
              <w:pStyle w:val="BodyText2"/>
              <w:spacing w:line="480" w:lineRule="auto"/>
              <w:jc w:val="center"/>
              <w:rPr>
                <w:lang w:val="de-DE"/>
              </w:rPr>
            </w:pPr>
            <w:r w:rsidRPr="00071623">
              <w:rPr>
                <w:lang w:val="de-DE"/>
              </w:rPr>
              <w:t>1.8</w:t>
            </w:r>
          </w:p>
        </w:tc>
        <w:tc>
          <w:tcPr>
            <w:tcW w:w="1440" w:type="dxa"/>
            <w:tcBorders>
              <w:top w:val="nil"/>
              <w:left w:val="nil"/>
              <w:bottom w:val="single" w:sz="4" w:space="0" w:color="auto"/>
              <w:right w:val="single" w:sz="4" w:space="0" w:color="auto"/>
            </w:tcBorders>
            <w:vAlign w:val="center"/>
          </w:tcPr>
          <w:p w14:paraId="6FD6F71D" w14:textId="77777777" w:rsidR="00A446A1" w:rsidRPr="00071623" w:rsidRDefault="00A446A1" w:rsidP="00A446A1">
            <w:pPr>
              <w:pStyle w:val="BodyText2"/>
              <w:spacing w:line="480" w:lineRule="auto"/>
              <w:jc w:val="center"/>
              <w:rPr>
                <w:lang w:val="de-DE"/>
              </w:rPr>
            </w:pPr>
            <w:r w:rsidRPr="00071623">
              <w:rPr>
                <w:lang w:val="de-DE"/>
              </w:rPr>
              <w:t>3.0</w:t>
            </w:r>
          </w:p>
        </w:tc>
        <w:tc>
          <w:tcPr>
            <w:tcW w:w="1476" w:type="dxa"/>
            <w:tcBorders>
              <w:top w:val="nil"/>
              <w:left w:val="single" w:sz="4" w:space="0" w:color="auto"/>
              <w:bottom w:val="single" w:sz="4" w:space="0" w:color="auto"/>
              <w:right w:val="single" w:sz="4" w:space="0" w:color="auto"/>
            </w:tcBorders>
            <w:vAlign w:val="center"/>
          </w:tcPr>
          <w:p w14:paraId="24D2FDA3" w14:textId="77777777" w:rsidR="00A446A1" w:rsidRPr="00071623" w:rsidRDefault="00A446A1" w:rsidP="00A446A1">
            <w:pPr>
              <w:pStyle w:val="BodyText2"/>
              <w:spacing w:line="480" w:lineRule="auto"/>
              <w:jc w:val="center"/>
              <w:rPr>
                <w:lang w:val="de-DE"/>
              </w:rPr>
            </w:pPr>
            <w:r w:rsidRPr="00071623">
              <w:rPr>
                <w:lang w:val="de-DE"/>
              </w:rPr>
              <w:t>85</w:t>
            </w:r>
          </w:p>
        </w:tc>
        <w:tc>
          <w:tcPr>
            <w:tcW w:w="1484" w:type="dxa"/>
            <w:tcBorders>
              <w:top w:val="nil"/>
              <w:left w:val="single" w:sz="4" w:space="0" w:color="auto"/>
              <w:bottom w:val="single" w:sz="4" w:space="0" w:color="auto"/>
              <w:right w:val="single" w:sz="4" w:space="0" w:color="auto"/>
            </w:tcBorders>
          </w:tcPr>
          <w:p w14:paraId="0E3EC9B8" w14:textId="33EE5A1C" w:rsidR="00A446A1" w:rsidRPr="00071623" w:rsidRDefault="00A446A1" w:rsidP="00A446A1">
            <w:pPr>
              <w:pStyle w:val="BodyText2"/>
              <w:spacing w:line="480" w:lineRule="auto"/>
              <w:jc w:val="center"/>
              <w:rPr>
                <w:lang w:val="de-DE"/>
              </w:rPr>
            </w:pPr>
            <w:r>
              <w:rPr>
                <w:lang w:val="de-DE"/>
              </w:rPr>
              <w:t>25</w:t>
            </w: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4D59117C" w14:textId="108D0D2A" w:rsidR="00A446A1" w:rsidRPr="00071623" w:rsidRDefault="00A446A1" w:rsidP="00071623">
            <w:pPr>
              <w:pStyle w:val="BodyText2"/>
              <w:spacing w:line="480" w:lineRule="auto"/>
              <w:rPr>
                <w:lang w:val="de-DE"/>
              </w:rPr>
            </w:pPr>
            <w:r w:rsidRPr="00071623">
              <w:rPr>
                <w:lang w:val="de-DE"/>
              </w:rPr>
              <w:t>FeCoBSi</w:t>
            </w:r>
          </w:p>
        </w:tc>
      </w:tr>
      <w:tr w:rsidR="00A446A1" w:rsidRPr="00071623" w14:paraId="62BD8F2A"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498EDA7A" w14:textId="6EF622E1" w:rsidR="00A446A1" w:rsidRPr="00071623" w:rsidRDefault="00795D4E" w:rsidP="00071623">
            <w:pPr>
              <w:pStyle w:val="BodyText2"/>
              <w:spacing w:line="480" w:lineRule="auto"/>
              <w:rPr>
                <w:lang w:val="de-DE"/>
              </w:rPr>
            </w:pPr>
            <w:r>
              <w:rPr>
                <w:lang w:val="de-DE"/>
              </w:rPr>
              <w:t>FINEMET</w:t>
            </w:r>
          </w:p>
        </w:tc>
        <w:tc>
          <w:tcPr>
            <w:tcW w:w="1800" w:type="dxa"/>
            <w:tcBorders>
              <w:top w:val="nil"/>
              <w:left w:val="nil"/>
              <w:bottom w:val="single" w:sz="4" w:space="0" w:color="auto"/>
              <w:right w:val="single" w:sz="4" w:space="0" w:color="auto"/>
            </w:tcBorders>
            <w:shd w:val="clear" w:color="auto" w:fill="auto"/>
            <w:noWrap/>
            <w:vAlign w:val="center"/>
            <w:hideMark/>
          </w:tcPr>
          <w:p w14:paraId="08604939" w14:textId="77777777" w:rsidR="00A446A1" w:rsidRPr="00071623" w:rsidRDefault="00A446A1" w:rsidP="00A446A1">
            <w:pPr>
              <w:pStyle w:val="BodyText2"/>
              <w:spacing w:line="480" w:lineRule="auto"/>
              <w:jc w:val="center"/>
              <w:rPr>
                <w:lang w:val="de-DE"/>
              </w:rPr>
            </w:pPr>
            <w:r w:rsidRPr="00071623">
              <w:rPr>
                <w:lang w:val="de-DE"/>
              </w:rPr>
              <w:t>1.2</w:t>
            </w:r>
          </w:p>
        </w:tc>
        <w:tc>
          <w:tcPr>
            <w:tcW w:w="1440" w:type="dxa"/>
            <w:tcBorders>
              <w:top w:val="nil"/>
              <w:left w:val="nil"/>
              <w:bottom w:val="single" w:sz="4" w:space="0" w:color="auto"/>
              <w:right w:val="single" w:sz="4" w:space="0" w:color="auto"/>
            </w:tcBorders>
            <w:vAlign w:val="center"/>
          </w:tcPr>
          <w:p w14:paraId="70E5CD72" w14:textId="77777777" w:rsidR="00A446A1" w:rsidRPr="00071623" w:rsidRDefault="00A446A1" w:rsidP="00A446A1">
            <w:pPr>
              <w:pStyle w:val="BodyText2"/>
              <w:spacing w:line="480" w:lineRule="auto"/>
              <w:jc w:val="center"/>
              <w:rPr>
                <w:lang w:val="de-DE"/>
              </w:rPr>
            </w:pPr>
            <w:r w:rsidRPr="00071623">
              <w:rPr>
                <w:lang w:val="de-DE"/>
              </w:rPr>
              <w:t>1.0</w:t>
            </w:r>
          </w:p>
        </w:tc>
        <w:tc>
          <w:tcPr>
            <w:tcW w:w="1476" w:type="dxa"/>
            <w:tcBorders>
              <w:top w:val="nil"/>
              <w:left w:val="single" w:sz="4" w:space="0" w:color="auto"/>
              <w:bottom w:val="single" w:sz="4" w:space="0" w:color="auto"/>
              <w:right w:val="single" w:sz="4" w:space="0" w:color="auto"/>
            </w:tcBorders>
            <w:vAlign w:val="center"/>
          </w:tcPr>
          <w:p w14:paraId="3B078207" w14:textId="77777777" w:rsidR="00A446A1" w:rsidRPr="00071623" w:rsidRDefault="00A446A1" w:rsidP="00A446A1">
            <w:pPr>
              <w:pStyle w:val="BodyText2"/>
              <w:spacing w:line="480" w:lineRule="auto"/>
              <w:jc w:val="center"/>
              <w:rPr>
                <w:lang w:val="de-DE"/>
              </w:rPr>
            </w:pPr>
            <w:r w:rsidRPr="00071623">
              <w:rPr>
                <w:lang w:val="de-DE"/>
              </w:rPr>
              <w:t>75</w:t>
            </w:r>
          </w:p>
        </w:tc>
        <w:tc>
          <w:tcPr>
            <w:tcW w:w="1484" w:type="dxa"/>
            <w:tcBorders>
              <w:top w:val="nil"/>
              <w:left w:val="single" w:sz="4" w:space="0" w:color="auto"/>
              <w:bottom w:val="single" w:sz="4" w:space="0" w:color="auto"/>
              <w:right w:val="single" w:sz="4" w:space="0" w:color="auto"/>
            </w:tcBorders>
          </w:tcPr>
          <w:p w14:paraId="75FFE13D" w14:textId="5C2A4FEF" w:rsidR="00A446A1" w:rsidRPr="00071623" w:rsidRDefault="00A446A1" w:rsidP="00A446A1">
            <w:pPr>
              <w:pStyle w:val="BodyText2"/>
              <w:spacing w:line="480" w:lineRule="auto"/>
              <w:jc w:val="center"/>
              <w:rPr>
                <w:lang w:val="de-DE"/>
              </w:rPr>
            </w:pPr>
            <w:r>
              <w:rPr>
                <w:lang w:val="de-DE"/>
              </w:rPr>
              <w:t>16</w:t>
            </w: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2A142AE0" w14:textId="19CD59EF" w:rsidR="00A446A1" w:rsidRPr="00071623" w:rsidRDefault="00A446A1" w:rsidP="00071623">
            <w:pPr>
              <w:pStyle w:val="BodyText2"/>
              <w:spacing w:line="480" w:lineRule="auto"/>
              <w:rPr>
                <w:lang w:val="de-DE"/>
              </w:rPr>
            </w:pPr>
            <w:r w:rsidRPr="00071623">
              <w:rPr>
                <w:lang w:val="de-DE"/>
              </w:rPr>
              <w:t>FeBSiNbCu</w:t>
            </w:r>
          </w:p>
        </w:tc>
      </w:tr>
      <w:tr w:rsidR="00A446A1" w:rsidRPr="00071623" w14:paraId="616E0E91"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1D2A3C84" w14:textId="77777777" w:rsidR="00A446A1" w:rsidRPr="00071623" w:rsidRDefault="00A446A1" w:rsidP="00071623">
            <w:pPr>
              <w:pStyle w:val="BodyText2"/>
              <w:spacing w:line="480" w:lineRule="auto"/>
              <w:rPr>
                <w:b/>
                <w:lang w:val="de-DE"/>
              </w:rPr>
            </w:pPr>
            <w:r w:rsidRPr="00071623">
              <w:rPr>
                <w:b/>
                <w:lang w:val="de-DE"/>
              </w:rPr>
              <w:t>Other alloys</w:t>
            </w:r>
          </w:p>
        </w:tc>
        <w:tc>
          <w:tcPr>
            <w:tcW w:w="1800" w:type="dxa"/>
            <w:tcBorders>
              <w:top w:val="nil"/>
              <w:left w:val="nil"/>
              <w:bottom w:val="single" w:sz="4" w:space="0" w:color="auto"/>
              <w:right w:val="single" w:sz="4" w:space="0" w:color="auto"/>
            </w:tcBorders>
            <w:shd w:val="clear" w:color="auto" w:fill="auto"/>
            <w:noWrap/>
            <w:vAlign w:val="center"/>
            <w:hideMark/>
          </w:tcPr>
          <w:p w14:paraId="786049E6" w14:textId="77777777" w:rsidR="00A446A1" w:rsidRPr="00071623" w:rsidRDefault="00A446A1" w:rsidP="00A446A1">
            <w:pPr>
              <w:pStyle w:val="BodyText2"/>
              <w:spacing w:line="480" w:lineRule="auto"/>
              <w:jc w:val="center"/>
              <w:rPr>
                <w:lang w:val="de-DE"/>
              </w:rPr>
            </w:pPr>
          </w:p>
        </w:tc>
        <w:tc>
          <w:tcPr>
            <w:tcW w:w="1440" w:type="dxa"/>
            <w:tcBorders>
              <w:top w:val="nil"/>
              <w:left w:val="nil"/>
              <w:bottom w:val="single" w:sz="4" w:space="0" w:color="auto"/>
              <w:right w:val="single" w:sz="4" w:space="0" w:color="auto"/>
            </w:tcBorders>
            <w:vAlign w:val="center"/>
          </w:tcPr>
          <w:p w14:paraId="20FFF45E" w14:textId="77777777" w:rsidR="00A446A1" w:rsidRPr="00071623" w:rsidRDefault="00A446A1" w:rsidP="00A446A1">
            <w:pPr>
              <w:pStyle w:val="BodyText2"/>
              <w:spacing w:line="480" w:lineRule="auto"/>
              <w:jc w:val="center"/>
              <w:rPr>
                <w:lang w:val="de-DE"/>
              </w:rPr>
            </w:pPr>
          </w:p>
        </w:tc>
        <w:tc>
          <w:tcPr>
            <w:tcW w:w="1476" w:type="dxa"/>
            <w:tcBorders>
              <w:top w:val="nil"/>
              <w:left w:val="single" w:sz="4" w:space="0" w:color="auto"/>
              <w:bottom w:val="single" w:sz="4" w:space="0" w:color="auto"/>
              <w:right w:val="single" w:sz="4" w:space="0" w:color="auto"/>
            </w:tcBorders>
            <w:vAlign w:val="center"/>
          </w:tcPr>
          <w:p w14:paraId="164E7EB6" w14:textId="77777777" w:rsidR="00A446A1" w:rsidRPr="00071623" w:rsidRDefault="00A446A1" w:rsidP="00A446A1">
            <w:pPr>
              <w:pStyle w:val="BodyText2"/>
              <w:spacing w:line="480" w:lineRule="auto"/>
              <w:jc w:val="center"/>
              <w:rPr>
                <w:lang w:val="de-DE"/>
              </w:rPr>
            </w:pPr>
          </w:p>
        </w:tc>
        <w:tc>
          <w:tcPr>
            <w:tcW w:w="1484" w:type="dxa"/>
            <w:tcBorders>
              <w:top w:val="nil"/>
              <w:left w:val="single" w:sz="4" w:space="0" w:color="auto"/>
              <w:bottom w:val="single" w:sz="4" w:space="0" w:color="auto"/>
              <w:right w:val="single" w:sz="4" w:space="0" w:color="auto"/>
            </w:tcBorders>
          </w:tcPr>
          <w:p w14:paraId="29BEDBBE" w14:textId="77777777" w:rsidR="00A446A1" w:rsidRPr="00071623" w:rsidRDefault="00A446A1" w:rsidP="00A446A1">
            <w:pPr>
              <w:pStyle w:val="BodyText2"/>
              <w:spacing w:line="480" w:lineRule="auto"/>
              <w:jc w:val="center"/>
              <w:rPr>
                <w:lang w:val="de-DE"/>
              </w:rPr>
            </w:pP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5C5FC74F" w14:textId="7470E2EF" w:rsidR="00A446A1" w:rsidRPr="00071623" w:rsidRDefault="00A446A1" w:rsidP="00071623">
            <w:pPr>
              <w:pStyle w:val="BodyText2"/>
              <w:spacing w:line="480" w:lineRule="auto"/>
              <w:rPr>
                <w:lang w:val="de-DE"/>
              </w:rPr>
            </w:pPr>
          </w:p>
        </w:tc>
      </w:tr>
      <w:tr w:rsidR="00A446A1" w:rsidRPr="00071623" w14:paraId="51395FF4" w14:textId="77777777" w:rsidTr="00A446A1">
        <w:trPr>
          <w:trHeight w:val="300"/>
          <w:jc w:val="center"/>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5631CDF4" w14:textId="77777777" w:rsidR="00A446A1" w:rsidRPr="00071623" w:rsidRDefault="00A446A1" w:rsidP="00071623">
            <w:pPr>
              <w:pStyle w:val="BodyText2"/>
              <w:spacing w:line="480" w:lineRule="auto"/>
              <w:rPr>
                <w:lang w:val="de-DE"/>
              </w:rPr>
            </w:pPr>
            <w:r w:rsidRPr="00071623">
              <w:rPr>
                <w:lang w:val="de-DE"/>
              </w:rPr>
              <w:t>M3 Si-steel</w:t>
            </w:r>
          </w:p>
        </w:tc>
        <w:tc>
          <w:tcPr>
            <w:tcW w:w="1800" w:type="dxa"/>
            <w:tcBorders>
              <w:top w:val="nil"/>
              <w:left w:val="nil"/>
              <w:bottom w:val="single" w:sz="4" w:space="0" w:color="auto"/>
              <w:right w:val="single" w:sz="4" w:space="0" w:color="auto"/>
            </w:tcBorders>
            <w:shd w:val="clear" w:color="auto" w:fill="auto"/>
            <w:noWrap/>
            <w:vAlign w:val="center"/>
            <w:hideMark/>
          </w:tcPr>
          <w:p w14:paraId="4FB6FE74" w14:textId="77777777" w:rsidR="00A446A1" w:rsidRPr="00071623" w:rsidRDefault="00A446A1" w:rsidP="00A446A1">
            <w:pPr>
              <w:pStyle w:val="BodyText2"/>
              <w:spacing w:line="480" w:lineRule="auto"/>
              <w:jc w:val="center"/>
              <w:rPr>
                <w:lang w:val="de-DE"/>
              </w:rPr>
            </w:pPr>
            <w:r w:rsidRPr="00071623">
              <w:rPr>
                <w:lang w:val="de-DE"/>
              </w:rPr>
              <w:t>2.0</w:t>
            </w:r>
          </w:p>
        </w:tc>
        <w:tc>
          <w:tcPr>
            <w:tcW w:w="1440" w:type="dxa"/>
            <w:tcBorders>
              <w:top w:val="nil"/>
              <w:left w:val="nil"/>
              <w:bottom w:val="single" w:sz="4" w:space="0" w:color="auto"/>
              <w:right w:val="single" w:sz="4" w:space="0" w:color="auto"/>
            </w:tcBorders>
            <w:vAlign w:val="center"/>
          </w:tcPr>
          <w:p w14:paraId="3A4C88CC" w14:textId="77777777" w:rsidR="00A446A1" w:rsidRPr="00071623" w:rsidRDefault="00A446A1" w:rsidP="00A446A1">
            <w:pPr>
              <w:pStyle w:val="BodyText2"/>
              <w:spacing w:line="480" w:lineRule="auto"/>
              <w:jc w:val="center"/>
              <w:rPr>
                <w:lang w:val="de-DE"/>
              </w:rPr>
            </w:pPr>
            <w:r w:rsidRPr="00071623">
              <w:rPr>
                <w:lang w:val="de-DE"/>
              </w:rPr>
              <w:t>6.9</w:t>
            </w:r>
          </w:p>
        </w:tc>
        <w:tc>
          <w:tcPr>
            <w:tcW w:w="1476" w:type="dxa"/>
            <w:tcBorders>
              <w:top w:val="nil"/>
              <w:left w:val="single" w:sz="4" w:space="0" w:color="auto"/>
              <w:bottom w:val="single" w:sz="4" w:space="0" w:color="auto"/>
              <w:right w:val="single" w:sz="4" w:space="0" w:color="auto"/>
            </w:tcBorders>
            <w:vAlign w:val="center"/>
          </w:tcPr>
          <w:p w14:paraId="2528E017" w14:textId="77777777" w:rsidR="00A446A1" w:rsidRPr="00071623" w:rsidRDefault="00A446A1" w:rsidP="00A446A1">
            <w:pPr>
              <w:pStyle w:val="BodyText2"/>
              <w:spacing w:line="480" w:lineRule="auto"/>
              <w:jc w:val="center"/>
              <w:rPr>
                <w:lang w:val="de-DE"/>
              </w:rPr>
            </w:pPr>
            <w:r w:rsidRPr="00071623">
              <w:rPr>
                <w:lang w:val="de-DE"/>
              </w:rPr>
              <w:t>96</w:t>
            </w:r>
          </w:p>
        </w:tc>
        <w:tc>
          <w:tcPr>
            <w:tcW w:w="1484" w:type="dxa"/>
            <w:tcBorders>
              <w:top w:val="nil"/>
              <w:left w:val="single" w:sz="4" w:space="0" w:color="auto"/>
              <w:bottom w:val="single" w:sz="4" w:space="0" w:color="auto"/>
              <w:right w:val="single" w:sz="4" w:space="0" w:color="auto"/>
            </w:tcBorders>
          </w:tcPr>
          <w:p w14:paraId="2D5EBE8C" w14:textId="2C4B2AD3" w:rsidR="00A446A1" w:rsidRPr="00071623" w:rsidRDefault="00A446A1" w:rsidP="00A446A1">
            <w:pPr>
              <w:pStyle w:val="BodyText2"/>
              <w:spacing w:line="480" w:lineRule="auto"/>
              <w:jc w:val="center"/>
              <w:rPr>
                <w:lang w:val="de-DE"/>
              </w:rPr>
            </w:pPr>
            <w:r>
              <w:rPr>
                <w:lang w:val="de-DE"/>
              </w:rPr>
              <w:t>200-300</w:t>
            </w:r>
          </w:p>
        </w:tc>
        <w:tc>
          <w:tcPr>
            <w:tcW w:w="1484" w:type="dxa"/>
            <w:tcBorders>
              <w:top w:val="nil"/>
              <w:left w:val="single" w:sz="4" w:space="0" w:color="auto"/>
              <w:bottom w:val="single" w:sz="4" w:space="0" w:color="auto"/>
              <w:right w:val="single" w:sz="8" w:space="0" w:color="auto"/>
            </w:tcBorders>
            <w:shd w:val="clear" w:color="auto" w:fill="auto"/>
            <w:noWrap/>
            <w:vAlign w:val="center"/>
            <w:hideMark/>
          </w:tcPr>
          <w:p w14:paraId="2C298E00" w14:textId="1A00D7AD" w:rsidR="00A446A1" w:rsidRPr="00071623" w:rsidRDefault="00A446A1" w:rsidP="00071623">
            <w:pPr>
              <w:pStyle w:val="BodyText2"/>
              <w:spacing w:line="480" w:lineRule="auto"/>
              <w:rPr>
                <w:lang w:val="de-DE"/>
              </w:rPr>
            </w:pPr>
            <w:r w:rsidRPr="00071623">
              <w:rPr>
                <w:lang w:val="de-DE"/>
              </w:rPr>
              <w:t>FeSi</w:t>
            </w:r>
          </w:p>
        </w:tc>
      </w:tr>
      <w:tr w:rsidR="00A446A1" w:rsidRPr="00071623" w14:paraId="46D1837F" w14:textId="77777777" w:rsidTr="00A446A1">
        <w:trPr>
          <w:trHeight w:val="315"/>
          <w:jc w:val="center"/>
        </w:trPr>
        <w:tc>
          <w:tcPr>
            <w:tcW w:w="1628" w:type="dxa"/>
            <w:tcBorders>
              <w:top w:val="nil"/>
              <w:left w:val="single" w:sz="8" w:space="0" w:color="auto"/>
              <w:bottom w:val="single" w:sz="8" w:space="0" w:color="auto"/>
              <w:right w:val="single" w:sz="4" w:space="0" w:color="auto"/>
            </w:tcBorders>
            <w:shd w:val="clear" w:color="auto" w:fill="auto"/>
            <w:noWrap/>
            <w:vAlign w:val="center"/>
            <w:hideMark/>
          </w:tcPr>
          <w:p w14:paraId="2122F832" w14:textId="77777777" w:rsidR="00A446A1" w:rsidRPr="00071623" w:rsidRDefault="00A446A1" w:rsidP="00071623">
            <w:pPr>
              <w:pStyle w:val="BodyText2"/>
              <w:spacing w:line="480" w:lineRule="auto"/>
              <w:rPr>
                <w:lang w:val="de-DE"/>
              </w:rPr>
            </w:pPr>
            <w:r w:rsidRPr="00071623">
              <w:rPr>
                <w:lang w:val="de-DE"/>
              </w:rPr>
              <w:t>High Sat Nano*</w:t>
            </w:r>
          </w:p>
        </w:tc>
        <w:tc>
          <w:tcPr>
            <w:tcW w:w="1800" w:type="dxa"/>
            <w:tcBorders>
              <w:top w:val="nil"/>
              <w:left w:val="nil"/>
              <w:bottom w:val="single" w:sz="8" w:space="0" w:color="auto"/>
              <w:right w:val="single" w:sz="4" w:space="0" w:color="auto"/>
            </w:tcBorders>
            <w:shd w:val="clear" w:color="auto" w:fill="auto"/>
            <w:noWrap/>
            <w:vAlign w:val="center"/>
            <w:hideMark/>
          </w:tcPr>
          <w:p w14:paraId="559866DC" w14:textId="77777777" w:rsidR="00A446A1" w:rsidRPr="00071623" w:rsidRDefault="00A446A1" w:rsidP="00A446A1">
            <w:pPr>
              <w:pStyle w:val="BodyText2"/>
              <w:spacing w:line="480" w:lineRule="auto"/>
              <w:jc w:val="center"/>
              <w:rPr>
                <w:lang w:val="de-DE"/>
              </w:rPr>
            </w:pPr>
            <w:r w:rsidRPr="00071623">
              <w:rPr>
                <w:lang w:val="de-DE"/>
              </w:rPr>
              <w:t>1.75</w:t>
            </w:r>
          </w:p>
        </w:tc>
        <w:tc>
          <w:tcPr>
            <w:tcW w:w="1440" w:type="dxa"/>
            <w:tcBorders>
              <w:top w:val="nil"/>
              <w:left w:val="nil"/>
              <w:bottom w:val="single" w:sz="8" w:space="0" w:color="auto"/>
              <w:right w:val="single" w:sz="4" w:space="0" w:color="auto"/>
            </w:tcBorders>
            <w:vAlign w:val="center"/>
          </w:tcPr>
          <w:p w14:paraId="52AEF7D0" w14:textId="77777777" w:rsidR="00A446A1" w:rsidRPr="00071623" w:rsidRDefault="00A446A1" w:rsidP="00A446A1">
            <w:pPr>
              <w:pStyle w:val="BodyText2"/>
              <w:spacing w:line="480" w:lineRule="auto"/>
              <w:jc w:val="center"/>
              <w:rPr>
                <w:lang w:val="de-DE"/>
              </w:rPr>
            </w:pPr>
            <w:r w:rsidRPr="00071623">
              <w:rPr>
                <w:lang w:val="de-DE"/>
              </w:rPr>
              <w:t>3</w:t>
            </w:r>
          </w:p>
        </w:tc>
        <w:tc>
          <w:tcPr>
            <w:tcW w:w="1476" w:type="dxa"/>
            <w:tcBorders>
              <w:top w:val="nil"/>
              <w:left w:val="single" w:sz="4" w:space="0" w:color="auto"/>
              <w:bottom w:val="single" w:sz="8" w:space="0" w:color="auto"/>
              <w:right w:val="single" w:sz="4" w:space="0" w:color="auto"/>
            </w:tcBorders>
            <w:vAlign w:val="center"/>
          </w:tcPr>
          <w:p w14:paraId="1D65C400" w14:textId="77777777" w:rsidR="00A446A1" w:rsidRPr="00071623" w:rsidRDefault="00A446A1" w:rsidP="00A446A1">
            <w:pPr>
              <w:pStyle w:val="BodyText2"/>
              <w:spacing w:line="480" w:lineRule="auto"/>
              <w:jc w:val="center"/>
              <w:rPr>
                <w:lang w:val="de-DE"/>
              </w:rPr>
            </w:pPr>
            <w:r w:rsidRPr="00071623">
              <w:rPr>
                <w:lang w:val="de-DE"/>
              </w:rPr>
              <w:t>85</w:t>
            </w:r>
          </w:p>
        </w:tc>
        <w:tc>
          <w:tcPr>
            <w:tcW w:w="1484" w:type="dxa"/>
            <w:tcBorders>
              <w:top w:val="nil"/>
              <w:left w:val="single" w:sz="4" w:space="0" w:color="auto"/>
              <w:bottom w:val="single" w:sz="8" w:space="0" w:color="auto"/>
              <w:right w:val="single" w:sz="4" w:space="0" w:color="auto"/>
            </w:tcBorders>
          </w:tcPr>
          <w:p w14:paraId="4D42B157" w14:textId="413EC18C" w:rsidR="00A446A1" w:rsidRPr="00071623" w:rsidRDefault="00A446A1" w:rsidP="00A446A1">
            <w:pPr>
              <w:pStyle w:val="BodyText2"/>
              <w:spacing w:line="480" w:lineRule="auto"/>
              <w:jc w:val="center"/>
              <w:rPr>
                <w:lang w:val="de-DE"/>
              </w:rPr>
            </w:pPr>
            <w:r>
              <w:rPr>
                <w:lang w:val="de-DE"/>
              </w:rPr>
              <w:t>25</w:t>
            </w:r>
          </w:p>
        </w:tc>
        <w:tc>
          <w:tcPr>
            <w:tcW w:w="1484" w:type="dxa"/>
            <w:tcBorders>
              <w:top w:val="nil"/>
              <w:left w:val="single" w:sz="4" w:space="0" w:color="auto"/>
              <w:bottom w:val="single" w:sz="8" w:space="0" w:color="auto"/>
              <w:right w:val="single" w:sz="8" w:space="0" w:color="auto"/>
            </w:tcBorders>
            <w:shd w:val="clear" w:color="auto" w:fill="auto"/>
            <w:noWrap/>
            <w:vAlign w:val="center"/>
            <w:hideMark/>
          </w:tcPr>
          <w:p w14:paraId="641CFAE1" w14:textId="26C0CB44" w:rsidR="00A446A1" w:rsidRPr="00071623" w:rsidRDefault="00A446A1" w:rsidP="00071623">
            <w:pPr>
              <w:pStyle w:val="BodyText2"/>
              <w:spacing w:line="480" w:lineRule="auto"/>
              <w:rPr>
                <w:lang w:val="de-DE"/>
              </w:rPr>
            </w:pPr>
            <w:r w:rsidRPr="00071623">
              <w:rPr>
                <w:lang w:val="de-DE"/>
              </w:rPr>
              <w:t>FeBSiCu</w:t>
            </w:r>
          </w:p>
        </w:tc>
      </w:tr>
    </w:tbl>
    <w:p w14:paraId="6EAE7F58" w14:textId="77777777" w:rsidR="00071623" w:rsidRPr="00071623" w:rsidRDefault="00071623" w:rsidP="00071623">
      <w:pPr>
        <w:pStyle w:val="BodyText2"/>
        <w:spacing w:line="480" w:lineRule="auto"/>
        <w:rPr>
          <w:lang w:val="de-DE"/>
        </w:rPr>
      </w:pPr>
    </w:p>
    <w:p w14:paraId="37583580" w14:textId="5FFB0D9F" w:rsidR="00071623" w:rsidRPr="00071623" w:rsidRDefault="00071623" w:rsidP="007A1AB3">
      <w:pPr>
        <w:pStyle w:val="BodyText2"/>
        <w:spacing w:line="480" w:lineRule="auto"/>
        <w:jc w:val="both"/>
        <w:rPr>
          <w:bCs/>
          <w:lang w:val="de-DE"/>
        </w:rPr>
      </w:pPr>
      <w:r w:rsidRPr="00071623">
        <w:rPr>
          <w:bCs/>
          <w:lang w:val="de-DE"/>
        </w:rPr>
        <w:t xml:space="preserve">The stacking factor of Si-steel laminations can be near 96% due to the many rolling stages required to reduce the material thickness.  Amorphous </w:t>
      </w:r>
      <w:r w:rsidR="005F2050">
        <w:rPr>
          <w:bCs/>
          <w:lang w:val="de-DE"/>
        </w:rPr>
        <w:t>foil</w:t>
      </w:r>
      <w:r w:rsidRPr="00071623">
        <w:rPr>
          <w:bCs/>
          <w:lang w:val="de-DE"/>
        </w:rPr>
        <w:t xml:space="preserve"> is directly cast from the molten stage to the rapidly quenched 25 microns thick </w:t>
      </w:r>
      <w:r w:rsidR="005F2050">
        <w:rPr>
          <w:bCs/>
          <w:lang w:val="de-DE"/>
        </w:rPr>
        <w:t>foil</w:t>
      </w:r>
      <w:r w:rsidR="005F2050" w:rsidRPr="00071623">
        <w:rPr>
          <w:bCs/>
          <w:lang w:val="de-DE"/>
        </w:rPr>
        <w:t xml:space="preserve"> </w:t>
      </w:r>
      <w:r w:rsidRPr="00071623">
        <w:rPr>
          <w:bCs/>
          <w:lang w:val="de-DE"/>
        </w:rPr>
        <w:t xml:space="preserve">and is not subsequently rolled thinner.  The stacking factor of an amorphous core is determined by the flatness of the </w:t>
      </w:r>
      <w:r w:rsidR="005F2050">
        <w:rPr>
          <w:bCs/>
          <w:lang w:val="de-DE"/>
        </w:rPr>
        <w:t>foil</w:t>
      </w:r>
      <w:r w:rsidR="005F2050" w:rsidRPr="00071623">
        <w:rPr>
          <w:bCs/>
          <w:lang w:val="de-DE"/>
        </w:rPr>
        <w:t xml:space="preserve"> </w:t>
      </w:r>
      <w:r w:rsidRPr="00071623">
        <w:rPr>
          <w:bCs/>
          <w:lang w:val="de-DE"/>
        </w:rPr>
        <w:t xml:space="preserve">and the surface roughness of the </w:t>
      </w:r>
      <w:r w:rsidR="005F2050">
        <w:rPr>
          <w:bCs/>
          <w:lang w:val="de-DE"/>
        </w:rPr>
        <w:t>foil</w:t>
      </w:r>
      <w:r w:rsidR="005F2050" w:rsidRPr="00071623">
        <w:rPr>
          <w:bCs/>
          <w:lang w:val="de-DE"/>
        </w:rPr>
        <w:t xml:space="preserve"> </w:t>
      </w:r>
      <w:r w:rsidRPr="00071623">
        <w:rPr>
          <w:bCs/>
          <w:lang w:val="de-DE"/>
        </w:rPr>
        <w:t xml:space="preserve">in the as-quenched state.  The first generation amorphous </w:t>
      </w:r>
      <w:r w:rsidR="005F2050">
        <w:rPr>
          <w:bCs/>
          <w:lang w:val="de-DE"/>
        </w:rPr>
        <w:t>foil</w:t>
      </w:r>
      <w:r w:rsidR="005F2050">
        <w:rPr>
          <w:bCs/>
          <w:lang w:val="de-DE"/>
        </w:rPr>
        <w:t>s</w:t>
      </w:r>
      <w:r w:rsidR="005F2050" w:rsidRPr="00071623">
        <w:rPr>
          <w:bCs/>
          <w:lang w:val="de-DE"/>
        </w:rPr>
        <w:t xml:space="preserve"> </w:t>
      </w:r>
      <w:r w:rsidRPr="00071623">
        <w:rPr>
          <w:bCs/>
          <w:lang w:val="de-DE"/>
        </w:rPr>
        <w:t>had stacking factors near 80% which again require a larger overall sized core.</w:t>
      </w:r>
    </w:p>
    <w:p w14:paraId="4E0943F2" w14:textId="594C3928" w:rsidR="00071623" w:rsidRPr="00071623" w:rsidRDefault="00071623" w:rsidP="007A1AB3">
      <w:pPr>
        <w:pStyle w:val="BodyText2"/>
        <w:spacing w:line="480" w:lineRule="auto"/>
        <w:jc w:val="both"/>
        <w:rPr>
          <w:lang w:val="en-GB"/>
        </w:rPr>
      </w:pPr>
      <w:r w:rsidRPr="00071623">
        <w:rPr>
          <w:lang w:val="en-GB"/>
        </w:rPr>
        <w:t xml:space="preserve">Two recent trends have changed with Fe-based amorphous </w:t>
      </w:r>
      <w:r w:rsidR="005F2050">
        <w:rPr>
          <w:bCs/>
          <w:lang w:val="de-DE"/>
        </w:rPr>
        <w:t>foil</w:t>
      </w:r>
      <w:r w:rsidR="005F2050" w:rsidRPr="00071623">
        <w:rPr>
          <w:bCs/>
          <w:lang w:val="de-DE"/>
        </w:rPr>
        <w:t xml:space="preserve"> </w:t>
      </w:r>
      <w:r w:rsidRPr="00071623">
        <w:rPr>
          <w:lang w:val="en-GB"/>
        </w:rPr>
        <w:t xml:space="preserve">that helps to reduce the core size and overall transformer size.  The first is a continuous improvement of the stacking factor of the </w:t>
      </w:r>
      <w:r w:rsidR="005F2050">
        <w:rPr>
          <w:bCs/>
          <w:lang w:val="de-DE"/>
        </w:rPr>
        <w:t>foil</w:t>
      </w:r>
      <w:r w:rsidR="005F2050" w:rsidRPr="00071623">
        <w:rPr>
          <w:bCs/>
          <w:lang w:val="de-DE"/>
        </w:rPr>
        <w:t xml:space="preserve"> </w:t>
      </w:r>
      <w:r w:rsidRPr="00071623">
        <w:rPr>
          <w:lang w:val="en-GB"/>
        </w:rPr>
        <w:t xml:space="preserve">from the first generation </w:t>
      </w:r>
      <w:r w:rsidR="005F2050">
        <w:rPr>
          <w:bCs/>
          <w:lang w:val="de-DE"/>
        </w:rPr>
        <w:t>foil</w:t>
      </w:r>
      <w:r w:rsidR="005F2050">
        <w:rPr>
          <w:bCs/>
          <w:lang w:val="de-DE"/>
        </w:rPr>
        <w:t>s</w:t>
      </w:r>
      <w:r w:rsidRPr="00071623">
        <w:rPr>
          <w:lang w:val="en-GB"/>
        </w:rPr>
        <w:t xml:space="preserve">.  Today the stacking factor is near 90% for amorphous </w:t>
      </w:r>
      <w:r w:rsidR="005F2050">
        <w:rPr>
          <w:bCs/>
          <w:lang w:val="de-DE"/>
        </w:rPr>
        <w:t>foil</w:t>
      </w:r>
      <w:r w:rsidRPr="00071623">
        <w:rPr>
          <w:lang w:val="en-GB"/>
        </w:rPr>
        <w:t xml:space="preserve">.  This allows for more volume of core material to fit into a smaller size.  The second factor is the introduction of the advanced amorphous Metglas®2605HB1M </w:t>
      </w:r>
      <w:r w:rsidR="005F2050">
        <w:rPr>
          <w:bCs/>
          <w:lang w:val="de-DE"/>
        </w:rPr>
        <w:t>foil</w:t>
      </w:r>
      <w:r w:rsidR="005F2050" w:rsidRPr="00071623">
        <w:rPr>
          <w:bCs/>
          <w:lang w:val="de-DE"/>
        </w:rPr>
        <w:t xml:space="preserve"> </w:t>
      </w:r>
      <w:r w:rsidRPr="00071623">
        <w:rPr>
          <w:lang w:val="en-GB"/>
        </w:rPr>
        <w:t>with a saturation induction of 1.63 T [1</w:t>
      </w:r>
      <w:r w:rsidR="00FD2307">
        <w:rPr>
          <w:lang w:val="en-GB"/>
        </w:rPr>
        <w:t>2</w:t>
      </w:r>
      <w:r w:rsidRPr="00071623">
        <w:rPr>
          <w:lang w:val="en-GB"/>
        </w:rPr>
        <w:t>].  The higher saturation allows for a further reduction in the core size.  Typically</w:t>
      </w:r>
      <w:r w:rsidR="00B20C0A">
        <w:rPr>
          <w:lang w:val="en-GB"/>
        </w:rPr>
        <w:t>,</w:t>
      </w:r>
      <w:r w:rsidRPr="00071623">
        <w:rPr>
          <w:lang w:val="en-GB"/>
        </w:rPr>
        <w:t xml:space="preserve"> an HB1M </w:t>
      </w:r>
      <w:r w:rsidR="00B20C0A">
        <w:rPr>
          <w:lang w:val="en-GB"/>
        </w:rPr>
        <w:t xml:space="preserve">amorphous core </w:t>
      </w:r>
      <w:r w:rsidRPr="00071623">
        <w:rPr>
          <w:lang w:val="en-GB"/>
        </w:rPr>
        <w:t xml:space="preserve">based transformer has an operating induction level of 1.42 T.  </w:t>
      </w:r>
      <w:r w:rsidR="00E0136F">
        <w:rPr>
          <w:lang w:val="en-GB"/>
        </w:rPr>
        <w:t>This</w:t>
      </w:r>
      <w:r w:rsidRPr="00071623">
        <w:rPr>
          <w:lang w:val="en-GB"/>
        </w:rPr>
        <w:t xml:space="preserve"> slightly increases the core loss </w:t>
      </w:r>
      <w:r w:rsidR="00E0136F">
        <w:rPr>
          <w:lang w:val="en-GB"/>
        </w:rPr>
        <w:t>but significantly reduces the overall transformer size</w:t>
      </w:r>
      <w:r w:rsidRPr="00071623">
        <w:rPr>
          <w:lang w:val="en-GB"/>
        </w:rPr>
        <w:t xml:space="preserve">.  Figure </w:t>
      </w:r>
      <w:r w:rsidR="00A446A1">
        <w:rPr>
          <w:lang w:val="en-GB"/>
        </w:rPr>
        <w:t>3</w:t>
      </w:r>
      <w:r w:rsidRPr="00071623">
        <w:rPr>
          <w:lang w:val="en-GB"/>
        </w:rPr>
        <w:t xml:space="preserve"> shows the </w:t>
      </w:r>
      <w:r w:rsidR="00A446A1">
        <w:rPr>
          <w:lang w:val="en-GB"/>
        </w:rPr>
        <w:t xml:space="preserve">core losses of </w:t>
      </w:r>
      <w:r w:rsidRPr="00071623">
        <w:rPr>
          <w:lang w:val="en-GB"/>
        </w:rPr>
        <w:t>an HB1M amorphous core to an M3 Si-steel core.</w:t>
      </w:r>
    </w:p>
    <w:p w14:paraId="012FED4A" w14:textId="65FF48C0" w:rsidR="00071623" w:rsidRPr="00071623" w:rsidRDefault="00071623" w:rsidP="00E73A06">
      <w:pPr>
        <w:pStyle w:val="BodyText2"/>
        <w:spacing w:line="480" w:lineRule="auto"/>
        <w:jc w:val="center"/>
        <w:rPr>
          <w:lang w:val="de-DE"/>
        </w:rPr>
      </w:pPr>
      <w:r w:rsidRPr="00071623">
        <w:drawing>
          <wp:inline distT="0" distB="0" distL="0" distR="0" wp14:anchorId="187A22B3" wp14:editId="67AFB686">
            <wp:extent cx="3337596" cy="26310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42" r="50301" b="2007"/>
                    <a:stretch/>
                  </pic:blipFill>
                  <pic:spPr bwMode="auto">
                    <a:xfrm>
                      <a:off x="0" y="0"/>
                      <a:ext cx="3343329" cy="2635576"/>
                    </a:xfrm>
                    <a:prstGeom prst="rect">
                      <a:avLst/>
                    </a:prstGeom>
                    <a:noFill/>
                    <a:ln>
                      <a:noFill/>
                    </a:ln>
                    <a:extLst>
                      <a:ext uri="{53640926-AAD7-44D8-BBD7-CCE9431645EC}">
                        <a14:shadowObscured xmlns:a14="http://schemas.microsoft.com/office/drawing/2010/main"/>
                      </a:ext>
                    </a:extLst>
                  </pic:spPr>
                </pic:pic>
              </a:graphicData>
            </a:graphic>
          </wp:inline>
        </w:drawing>
      </w:r>
    </w:p>
    <w:p w14:paraId="05E1B633" w14:textId="13157312" w:rsidR="00071623" w:rsidRDefault="00071623" w:rsidP="00071623">
      <w:pPr>
        <w:pStyle w:val="BodyText2"/>
        <w:spacing w:line="480" w:lineRule="auto"/>
        <w:rPr>
          <w:lang w:val="de-DE"/>
        </w:rPr>
      </w:pPr>
      <w:r w:rsidRPr="00071623">
        <w:rPr>
          <w:b/>
          <w:lang w:val="de-DE"/>
        </w:rPr>
        <w:t xml:space="preserve">Figure </w:t>
      </w:r>
      <w:r w:rsidR="00A446A1">
        <w:rPr>
          <w:b/>
          <w:lang w:val="de-DE"/>
        </w:rPr>
        <w:t>3</w:t>
      </w:r>
      <w:r w:rsidRPr="00071623">
        <w:rPr>
          <w:lang w:val="de-DE"/>
        </w:rPr>
        <w:t>: Typical values of core loss for an M3 grade Si-steel core and an HB1M based amorphous core as a function of induction level while operating at 60 Hz.</w:t>
      </w:r>
    </w:p>
    <w:p w14:paraId="00C69717" w14:textId="77777777" w:rsidR="003301A2" w:rsidRPr="00071623" w:rsidRDefault="003301A2" w:rsidP="00071623">
      <w:pPr>
        <w:pStyle w:val="BodyText2"/>
        <w:spacing w:line="480" w:lineRule="auto"/>
        <w:rPr>
          <w:lang w:val="de-DE"/>
        </w:rPr>
      </w:pPr>
    </w:p>
    <w:p w14:paraId="047F6A4C" w14:textId="5C39A68B" w:rsidR="00071623" w:rsidRPr="00E73A06" w:rsidRDefault="00071623" w:rsidP="00071623">
      <w:pPr>
        <w:pStyle w:val="BodyText2"/>
        <w:spacing w:line="480" w:lineRule="auto"/>
        <w:rPr>
          <w:b/>
          <w:bCs/>
          <w:lang w:val="en-GB"/>
        </w:rPr>
      </w:pPr>
      <w:r w:rsidRPr="00071623">
        <w:rPr>
          <w:b/>
          <w:bCs/>
          <w:lang w:val="en-GB"/>
        </w:rPr>
        <w:t>Amorphous Transformer Core Processi</w:t>
      </w:r>
      <w:r w:rsidR="00E73A06">
        <w:rPr>
          <w:b/>
          <w:bCs/>
          <w:lang w:val="en-GB"/>
        </w:rPr>
        <w:t>ng</w:t>
      </w:r>
      <w:r w:rsidR="00E0136F">
        <w:rPr>
          <w:b/>
          <w:bCs/>
          <w:lang w:val="en-GB"/>
        </w:rPr>
        <w:t>:</w:t>
      </w:r>
    </w:p>
    <w:p w14:paraId="271DAA3F" w14:textId="21E63A6C" w:rsidR="00071623" w:rsidRPr="00071623" w:rsidRDefault="00071623" w:rsidP="007A1AB3">
      <w:pPr>
        <w:pStyle w:val="BodyText2"/>
        <w:spacing w:line="480" w:lineRule="auto"/>
        <w:jc w:val="both"/>
        <w:rPr>
          <w:bCs/>
          <w:lang w:val="en-GB"/>
        </w:rPr>
      </w:pPr>
      <w:r w:rsidRPr="00071623">
        <w:rPr>
          <w:bCs/>
          <w:lang w:val="en-GB"/>
        </w:rPr>
        <w:t xml:space="preserve">Amorphous </w:t>
      </w:r>
      <w:r w:rsidR="005F2050">
        <w:rPr>
          <w:bCs/>
          <w:lang w:val="de-DE"/>
        </w:rPr>
        <w:t>foil</w:t>
      </w:r>
      <w:r w:rsidR="005F2050" w:rsidRPr="00071623">
        <w:rPr>
          <w:bCs/>
          <w:lang w:val="de-DE"/>
        </w:rPr>
        <w:t xml:space="preserve"> </w:t>
      </w:r>
      <w:r w:rsidRPr="00071623">
        <w:rPr>
          <w:bCs/>
          <w:lang w:val="en-GB"/>
        </w:rPr>
        <w:t>is only 25 microns thick and therefore requires special processing to form into a transformer core.  The standard method used to form cores starts by taking five amorphous spools and spinning them into a single five</w:t>
      </w:r>
      <w:r w:rsidR="00E0136F">
        <w:rPr>
          <w:bCs/>
          <w:lang w:val="en-GB"/>
        </w:rPr>
        <w:t>-</w:t>
      </w:r>
      <w:r w:rsidRPr="00071623">
        <w:rPr>
          <w:bCs/>
          <w:lang w:val="en-GB"/>
        </w:rPr>
        <w:t xml:space="preserve">ply spool as shown in Figure </w:t>
      </w:r>
      <w:r w:rsidR="00A446A1">
        <w:rPr>
          <w:bCs/>
          <w:lang w:val="en-GB"/>
        </w:rPr>
        <w:t>4</w:t>
      </w:r>
      <w:r w:rsidRPr="00071623">
        <w:rPr>
          <w:bCs/>
          <w:lang w:val="en-GB"/>
        </w:rPr>
        <w:t>a).  Three of the five</w:t>
      </w:r>
      <w:r w:rsidR="00E0136F">
        <w:rPr>
          <w:bCs/>
          <w:lang w:val="en-GB"/>
        </w:rPr>
        <w:t xml:space="preserve">-ply stacks </w:t>
      </w:r>
      <w:proofErr w:type="gramStart"/>
      <w:r w:rsidR="00E0136F">
        <w:rPr>
          <w:bCs/>
          <w:lang w:val="en-GB"/>
        </w:rPr>
        <w:t>are then fe</w:t>
      </w:r>
      <w:r w:rsidRPr="00071623">
        <w:rPr>
          <w:bCs/>
          <w:lang w:val="en-GB"/>
        </w:rPr>
        <w:t>d</w:t>
      </w:r>
      <w:proofErr w:type="gramEnd"/>
      <w:r w:rsidRPr="00071623">
        <w:rPr>
          <w:bCs/>
          <w:lang w:val="en-GB"/>
        </w:rPr>
        <w:t xml:space="preserve"> together into a cutting machine that results in a </w:t>
      </w:r>
      <w:r w:rsidR="00B20C0A" w:rsidRPr="00071623">
        <w:rPr>
          <w:bCs/>
          <w:lang w:val="en-GB"/>
        </w:rPr>
        <w:t>fifteen-layer</w:t>
      </w:r>
      <w:r w:rsidRPr="00071623">
        <w:rPr>
          <w:bCs/>
          <w:lang w:val="en-GB"/>
        </w:rPr>
        <w:t xml:space="preserve"> stack that is similar to a Si-Steel layer in thickness.  Figure </w:t>
      </w:r>
      <w:r w:rsidR="00A446A1">
        <w:rPr>
          <w:bCs/>
          <w:lang w:val="en-GB"/>
        </w:rPr>
        <w:t>4</w:t>
      </w:r>
      <w:r w:rsidRPr="00071623">
        <w:rPr>
          <w:bCs/>
          <w:lang w:val="en-GB"/>
        </w:rPr>
        <w:t>b) shows a schematic of the process where the cutting machine increments the cut length on each cut to account for the increasing outer layer of the core.</w:t>
      </w:r>
    </w:p>
    <w:p w14:paraId="3818F50D" w14:textId="77777777" w:rsidR="00071623" w:rsidRPr="00071623" w:rsidRDefault="00071623" w:rsidP="00071623">
      <w:pPr>
        <w:pStyle w:val="BodyText2"/>
        <w:spacing w:line="480" w:lineRule="auto"/>
        <w:rPr>
          <w:lang w:val="de-DE"/>
        </w:rPr>
      </w:pPr>
    </w:p>
    <w:p w14:paraId="307DB61C" w14:textId="406F2DFD" w:rsidR="00071623" w:rsidRPr="00071623" w:rsidRDefault="00071623" w:rsidP="00071623">
      <w:pPr>
        <w:pStyle w:val="BodyText2"/>
        <w:spacing w:line="480" w:lineRule="auto"/>
        <w:rPr>
          <w:lang w:val="de-DE"/>
        </w:rPr>
      </w:pPr>
      <w:r w:rsidRPr="00071623">
        <w:drawing>
          <wp:inline distT="0" distB="0" distL="0" distR="0" wp14:anchorId="2091ED3E" wp14:editId="14209134">
            <wp:extent cx="5753735" cy="1518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1518285"/>
                    </a:xfrm>
                    <a:prstGeom prst="rect">
                      <a:avLst/>
                    </a:prstGeom>
                    <a:noFill/>
                    <a:ln>
                      <a:noFill/>
                    </a:ln>
                  </pic:spPr>
                </pic:pic>
              </a:graphicData>
            </a:graphic>
          </wp:inline>
        </w:drawing>
      </w:r>
    </w:p>
    <w:p w14:paraId="61C02776" w14:textId="66A2F4F3" w:rsidR="00071623" w:rsidRPr="00071623" w:rsidRDefault="00071623" w:rsidP="00071623">
      <w:pPr>
        <w:pStyle w:val="BodyText2"/>
        <w:spacing w:line="480" w:lineRule="auto"/>
        <w:rPr>
          <w:lang w:val="de-DE"/>
        </w:rPr>
      </w:pPr>
      <w:r w:rsidRPr="00071623">
        <w:rPr>
          <w:b/>
          <w:lang w:val="de-DE"/>
        </w:rPr>
        <w:t xml:space="preserve">Figure </w:t>
      </w:r>
      <w:r w:rsidR="00A446A1">
        <w:rPr>
          <w:b/>
          <w:lang w:val="de-DE"/>
        </w:rPr>
        <w:t>4</w:t>
      </w:r>
      <w:r w:rsidRPr="00071623">
        <w:rPr>
          <w:lang w:val="de-DE"/>
        </w:rPr>
        <w:t xml:space="preserve">: a)  Five spools being feed toegether into a five layered feed spool.  b) Three layered spools being fed together into a cutting machine to form a laced distribution transformer core.  </w:t>
      </w:r>
    </w:p>
    <w:p w14:paraId="33EF16B2" w14:textId="2C4A1EEB" w:rsidR="00F5366E" w:rsidRPr="00071623" w:rsidRDefault="00071623" w:rsidP="007A1AB3">
      <w:pPr>
        <w:pStyle w:val="BodyText2"/>
        <w:spacing w:line="480" w:lineRule="auto"/>
        <w:jc w:val="both"/>
        <w:rPr>
          <w:lang w:val="de-DE"/>
        </w:rPr>
      </w:pPr>
      <w:r w:rsidRPr="00071623">
        <w:rPr>
          <w:lang w:val="de-DE"/>
        </w:rPr>
        <w:t xml:space="preserve">Figure </w:t>
      </w:r>
      <w:r w:rsidR="00071FD9">
        <w:rPr>
          <w:lang w:val="de-DE"/>
        </w:rPr>
        <w:t>5</w:t>
      </w:r>
      <w:r w:rsidRPr="00071623">
        <w:rPr>
          <w:lang w:val="de-DE"/>
        </w:rPr>
        <w:t xml:space="preserve"> shows the process of forming a laced distribution core.  A protective Si-Steel sheet is placed on the inner and outer wraps of the core for stability.  The cut layers are assembled into a laced core by clamping the stack and overlapping the step joints.  Inner and outer mandrels are used to form the stacked </w:t>
      </w:r>
      <w:r w:rsidR="005F2050">
        <w:rPr>
          <w:bCs/>
          <w:lang w:val="de-DE"/>
        </w:rPr>
        <w:t>foil</w:t>
      </w:r>
      <w:r w:rsidR="005F2050" w:rsidRPr="00071623">
        <w:rPr>
          <w:bCs/>
          <w:lang w:val="de-DE"/>
        </w:rPr>
        <w:t xml:space="preserve"> </w:t>
      </w:r>
      <w:r w:rsidRPr="00071623">
        <w:rPr>
          <w:lang w:val="de-DE"/>
        </w:rPr>
        <w:t>into a rigid core.  The core is then banded and annealed under</w:t>
      </w:r>
      <w:r w:rsidR="003301A2">
        <w:rPr>
          <w:lang w:val="de-DE"/>
        </w:rPr>
        <w:t xml:space="preserve"> a longitudinal magnetic field.</w:t>
      </w:r>
      <w:r w:rsidR="00F5366E">
        <w:rPr>
          <w:lang w:val="de-DE"/>
        </w:rPr>
        <w:t xml:space="preserve">  </w:t>
      </w:r>
      <w:r w:rsidR="00F5366E" w:rsidRPr="00071623">
        <w:rPr>
          <w:lang w:val="de-DE"/>
        </w:rPr>
        <w:t xml:space="preserve">An epoxy coating is applied to each face of the core after the annealing process.  This step adds mechanical rigidity to the core.  The section of the core with the overlap lacings is not glued so that the core can be opened to insert the coil windings, as shown in Figure </w:t>
      </w:r>
      <w:r w:rsidR="00071FD9">
        <w:rPr>
          <w:lang w:val="de-DE"/>
        </w:rPr>
        <w:t>5 d)</w:t>
      </w:r>
      <w:r w:rsidR="00F5366E" w:rsidRPr="00071623">
        <w:rPr>
          <w:lang w:val="de-DE"/>
        </w:rPr>
        <w:t>.</w:t>
      </w:r>
    </w:p>
    <w:p w14:paraId="67A13599" w14:textId="77777777" w:rsidR="00071623" w:rsidRPr="00071623" w:rsidRDefault="00071623" w:rsidP="00071623">
      <w:pPr>
        <w:pStyle w:val="BodyText2"/>
        <w:spacing w:line="480" w:lineRule="auto"/>
        <w:rPr>
          <w:lang w:val="de-DE"/>
        </w:rPr>
      </w:pPr>
    </w:p>
    <w:p w14:paraId="2E922AF7" w14:textId="6630A0F7" w:rsidR="00071623" w:rsidRPr="00071623" w:rsidRDefault="00071623" w:rsidP="003301A2">
      <w:pPr>
        <w:pStyle w:val="BodyText2"/>
        <w:spacing w:line="480" w:lineRule="auto"/>
        <w:jc w:val="center"/>
      </w:pPr>
      <w:r w:rsidRPr="00071623">
        <w:drawing>
          <wp:inline distT="0" distB="0" distL="0" distR="0" wp14:anchorId="1947308D" wp14:editId="0B4918C7">
            <wp:extent cx="4218293" cy="12579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4235682" cy="1263103"/>
                    </a:xfrm>
                    <a:prstGeom prst="rect">
                      <a:avLst/>
                    </a:prstGeom>
                    <a:noFill/>
                    <a:ln>
                      <a:noFill/>
                    </a:ln>
                  </pic:spPr>
                </pic:pic>
              </a:graphicData>
            </a:graphic>
          </wp:inline>
        </w:drawing>
      </w:r>
      <w:r w:rsidR="00F5366E">
        <w:t xml:space="preserve"> d) </w:t>
      </w:r>
      <w:r w:rsidR="00F5366E" w:rsidRPr="00071623">
        <w:drawing>
          <wp:inline distT="0" distB="0" distL="0" distR="0" wp14:anchorId="729C17F2" wp14:editId="76D2F5F4">
            <wp:extent cx="1075881" cy="1239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089478" cy="1255003"/>
                    </a:xfrm>
                    <a:prstGeom prst="rect">
                      <a:avLst/>
                    </a:prstGeom>
                    <a:noFill/>
                    <a:ln>
                      <a:noFill/>
                    </a:ln>
                  </pic:spPr>
                </pic:pic>
              </a:graphicData>
            </a:graphic>
          </wp:inline>
        </w:drawing>
      </w:r>
    </w:p>
    <w:p w14:paraId="38870D4A" w14:textId="339E2C32" w:rsidR="00071623" w:rsidRPr="00071623" w:rsidRDefault="00071623" w:rsidP="00071623">
      <w:pPr>
        <w:pStyle w:val="BodyText2"/>
        <w:spacing w:line="480" w:lineRule="auto"/>
        <w:rPr>
          <w:lang w:val="de-DE"/>
        </w:rPr>
      </w:pPr>
      <w:r w:rsidRPr="00071623">
        <w:rPr>
          <w:b/>
          <w:lang w:val="de-DE"/>
        </w:rPr>
        <w:t xml:space="preserve">Figure </w:t>
      </w:r>
      <w:r w:rsidR="00071FD9">
        <w:rPr>
          <w:b/>
          <w:lang w:val="de-DE"/>
        </w:rPr>
        <w:t>5</w:t>
      </w:r>
      <w:r w:rsidRPr="00071623">
        <w:rPr>
          <w:lang w:val="de-DE"/>
        </w:rPr>
        <w:t xml:space="preserve">: </w:t>
      </w:r>
      <w:r w:rsidR="00E0136F">
        <w:rPr>
          <w:lang w:val="de-DE"/>
        </w:rPr>
        <w:t xml:space="preserve">Images of </w:t>
      </w:r>
      <w:r w:rsidRPr="00071623">
        <w:rPr>
          <w:lang w:val="de-DE"/>
        </w:rPr>
        <w:t xml:space="preserve">a) </w:t>
      </w:r>
      <w:r w:rsidR="00E0136F">
        <w:rPr>
          <w:lang w:val="de-DE"/>
        </w:rPr>
        <w:t>c</w:t>
      </w:r>
      <w:r w:rsidRPr="00071623">
        <w:rPr>
          <w:lang w:val="de-DE"/>
        </w:rPr>
        <w:t xml:space="preserve">ut to length </w:t>
      </w:r>
      <w:r w:rsidR="005F2050">
        <w:rPr>
          <w:bCs/>
          <w:lang w:val="de-DE"/>
        </w:rPr>
        <w:t>foil</w:t>
      </w:r>
      <w:r w:rsidR="005F2050" w:rsidRPr="00071623">
        <w:rPr>
          <w:bCs/>
          <w:lang w:val="de-DE"/>
        </w:rPr>
        <w:t xml:space="preserve"> </w:t>
      </w:r>
      <w:r w:rsidRPr="00071623">
        <w:rPr>
          <w:lang w:val="de-DE"/>
        </w:rPr>
        <w:t>stacks being formed into</w:t>
      </w:r>
      <w:r w:rsidR="00E0136F">
        <w:rPr>
          <w:lang w:val="de-DE"/>
        </w:rPr>
        <w:t xml:space="preserve"> closed core,</w:t>
      </w:r>
      <w:r w:rsidRPr="00071623">
        <w:rPr>
          <w:lang w:val="de-DE"/>
        </w:rPr>
        <w:t xml:space="preserve"> b) </w:t>
      </w:r>
      <w:r w:rsidR="00E0136F">
        <w:rPr>
          <w:lang w:val="de-DE"/>
        </w:rPr>
        <w:t>j</w:t>
      </w:r>
      <w:r w:rsidRPr="00071623">
        <w:rPr>
          <w:lang w:val="de-DE"/>
        </w:rPr>
        <w:t>oints are closed and clamped into place</w:t>
      </w:r>
      <w:r w:rsidR="00E0136F">
        <w:rPr>
          <w:lang w:val="de-DE"/>
        </w:rPr>
        <w:t>,</w:t>
      </w:r>
      <w:r w:rsidRPr="00071623">
        <w:rPr>
          <w:lang w:val="de-DE"/>
        </w:rPr>
        <w:t xml:space="preserve"> c) </w:t>
      </w:r>
      <w:r w:rsidR="00E0136F">
        <w:rPr>
          <w:lang w:val="de-DE"/>
        </w:rPr>
        <w:t>m</w:t>
      </w:r>
      <w:r w:rsidRPr="00071623">
        <w:rPr>
          <w:lang w:val="de-DE"/>
        </w:rPr>
        <w:t xml:space="preserve">andrels </w:t>
      </w:r>
      <w:r w:rsidR="00E0136F">
        <w:rPr>
          <w:lang w:val="de-DE"/>
        </w:rPr>
        <w:t xml:space="preserve">that </w:t>
      </w:r>
      <w:r w:rsidRPr="00071623">
        <w:rPr>
          <w:lang w:val="de-DE"/>
        </w:rPr>
        <w:t xml:space="preserve">are put in place </w:t>
      </w:r>
      <w:r w:rsidR="00E0136F">
        <w:rPr>
          <w:lang w:val="de-DE"/>
        </w:rPr>
        <w:t>when</w:t>
      </w:r>
      <w:r w:rsidRPr="00071623">
        <w:rPr>
          <w:lang w:val="de-DE"/>
        </w:rPr>
        <w:t xml:space="preserve"> the core is banded</w:t>
      </w:r>
      <w:r w:rsidR="00E0136F">
        <w:rPr>
          <w:lang w:val="de-DE"/>
        </w:rPr>
        <w:t xml:space="preserve"> and d) a finished core with epoxy side coating applied</w:t>
      </w:r>
      <w:r w:rsidRPr="00071623">
        <w:rPr>
          <w:lang w:val="de-DE"/>
        </w:rPr>
        <w:t>.</w:t>
      </w:r>
    </w:p>
    <w:p w14:paraId="69BE97D0" w14:textId="77777777" w:rsidR="00071623" w:rsidRPr="00071623" w:rsidRDefault="00071623" w:rsidP="00071623">
      <w:pPr>
        <w:pStyle w:val="BodyText2"/>
        <w:spacing w:line="480" w:lineRule="auto"/>
        <w:rPr>
          <w:lang w:val="de-DE"/>
        </w:rPr>
      </w:pPr>
    </w:p>
    <w:p w14:paraId="4FD30138" w14:textId="56125BCB" w:rsidR="00071623" w:rsidRPr="00071623" w:rsidRDefault="00071623" w:rsidP="00071623">
      <w:pPr>
        <w:pStyle w:val="BodyText2"/>
        <w:spacing w:line="480" w:lineRule="auto"/>
        <w:rPr>
          <w:b/>
          <w:lang w:val="de-DE"/>
        </w:rPr>
      </w:pPr>
      <w:r w:rsidRPr="00071623">
        <w:rPr>
          <w:b/>
          <w:lang w:val="de-DE"/>
        </w:rPr>
        <w:t>Advanced Nanocrystalline Alloys</w:t>
      </w:r>
      <w:r w:rsidR="00E0136F">
        <w:rPr>
          <w:b/>
          <w:lang w:val="de-DE"/>
        </w:rPr>
        <w:t>:</w:t>
      </w:r>
    </w:p>
    <w:p w14:paraId="4E64F4DB" w14:textId="2CD23218" w:rsidR="00071623" w:rsidRPr="00071623" w:rsidRDefault="00071623" w:rsidP="007A1AB3">
      <w:pPr>
        <w:pStyle w:val="BodyText2"/>
        <w:spacing w:line="480" w:lineRule="auto"/>
        <w:jc w:val="both"/>
        <w:rPr>
          <w:lang w:val="de-DE"/>
        </w:rPr>
      </w:pPr>
      <w:r w:rsidRPr="00071623">
        <w:rPr>
          <w:lang w:val="de-DE"/>
        </w:rPr>
        <w:t>The conventional nanocrystalline alloys generally follow the FINEMET</w:t>
      </w:r>
      <w:r w:rsidRPr="00071623">
        <w:rPr>
          <w:b/>
          <w:bCs/>
          <w:lang w:val="de-DE"/>
        </w:rPr>
        <w:t>®</w:t>
      </w:r>
      <w:r w:rsidRPr="00071623">
        <w:rPr>
          <w:lang w:val="de-DE"/>
        </w:rPr>
        <w:t xml:space="preserve"> </w:t>
      </w:r>
      <w:r w:rsidR="007A1AB3">
        <w:rPr>
          <w:lang w:val="de-DE"/>
        </w:rPr>
        <w:t xml:space="preserve">type </w:t>
      </w:r>
      <w:r w:rsidRPr="00071623">
        <w:rPr>
          <w:lang w:val="de-DE"/>
        </w:rPr>
        <w:t xml:space="preserve">chemistry of FeBSiNbCu.  These alloys are cast as fully amorphous </w:t>
      </w:r>
      <w:r w:rsidR="005F2050">
        <w:rPr>
          <w:bCs/>
          <w:lang w:val="de-DE"/>
        </w:rPr>
        <w:t>foil</w:t>
      </w:r>
      <w:r w:rsidR="005F2050">
        <w:rPr>
          <w:bCs/>
          <w:lang w:val="de-DE"/>
        </w:rPr>
        <w:t>s</w:t>
      </w:r>
      <w:r w:rsidR="005F2050" w:rsidRPr="00071623">
        <w:rPr>
          <w:bCs/>
          <w:lang w:val="de-DE"/>
        </w:rPr>
        <w:t xml:space="preserve"> </w:t>
      </w:r>
      <w:r w:rsidRPr="00071623">
        <w:rPr>
          <w:lang w:val="de-DE"/>
        </w:rPr>
        <w:t>and then annealed through conventional methods to achieve the nanocrystalline structure [1</w:t>
      </w:r>
      <w:r w:rsidR="00FD2307">
        <w:rPr>
          <w:lang w:val="de-DE"/>
        </w:rPr>
        <w:t>3</w:t>
      </w:r>
      <w:r w:rsidRPr="00071623">
        <w:rPr>
          <w:lang w:val="de-DE"/>
        </w:rPr>
        <w:t xml:space="preserve">].  The conventional process implies winding the </w:t>
      </w:r>
      <w:r w:rsidR="005F2050">
        <w:rPr>
          <w:bCs/>
          <w:lang w:val="de-DE"/>
        </w:rPr>
        <w:t>foil</w:t>
      </w:r>
      <w:r w:rsidR="005F2050" w:rsidRPr="00071623">
        <w:rPr>
          <w:bCs/>
          <w:lang w:val="de-DE"/>
        </w:rPr>
        <w:t xml:space="preserve"> </w:t>
      </w:r>
      <w:r w:rsidRPr="00071623">
        <w:rPr>
          <w:lang w:val="de-DE"/>
        </w:rPr>
        <w:t>into a toroid or tape wound core and then annealing in a furnace at a temperature above the onset crystallization event such that one achieves the desired nanocrystalline structure.  The nanocrystalline electronic components have been available for many years but are currently being widely adopted commercially for emerging high frequency applications.</w:t>
      </w:r>
    </w:p>
    <w:p w14:paraId="12124E80" w14:textId="78BFBF5E" w:rsidR="00071623" w:rsidRPr="00071623" w:rsidRDefault="00071623" w:rsidP="007A1AB3">
      <w:pPr>
        <w:pStyle w:val="BodyText2"/>
        <w:spacing w:line="480" w:lineRule="auto"/>
        <w:jc w:val="both"/>
        <w:rPr>
          <w:lang w:val="de-DE"/>
        </w:rPr>
      </w:pPr>
      <w:r w:rsidRPr="00071623">
        <w:rPr>
          <w:lang w:val="de-DE"/>
        </w:rPr>
        <w:t xml:space="preserve">Recently, nanocrystalline </w:t>
      </w:r>
      <w:r w:rsidR="005F2050">
        <w:rPr>
          <w:bCs/>
          <w:lang w:val="de-DE"/>
        </w:rPr>
        <w:t>foil</w:t>
      </w:r>
      <w:r w:rsidR="005F2050" w:rsidRPr="00071623">
        <w:rPr>
          <w:bCs/>
          <w:lang w:val="de-DE"/>
        </w:rPr>
        <w:t xml:space="preserve"> </w:t>
      </w:r>
      <w:r w:rsidRPr="00071623">
        <w:rPr>
          <w:lang w:val="de-DE"/>
        </w:rPr>
        <w:t xml:space="preserve">has been produced domestically in the U.S. up to </w:t>
      </w:r>
      <w:r w:rsidR="005F2050">
        <w:rPr>
          <w:lang w:val="de-DE"/>
        </w:rPr>
        <w:t xml:space="preserve">170 </w:t>
      </w:r>
      <w:r w:rsidRPr="00071623">
        <w:rPr>
          <w:lang w:val="de-DE"/>
        </w:rPr>
        <w:t>mm wide [1</w:t>
      </w:r>
      <w:r w:rsidR="00FD2307">
        <w:rPr>
          <w:lang w:val="de-DE"/>
        </w:rPr>
        <w:t>4</w:t>
      </w:r>
      <w:r w:rsidRPr="00071623">
        <w:rPr>
          <w:lang w:val="de-DE"/>
        </w:rPr>
        <w:t xml:space="preserve">].  Traditionally FINEMET type </w:t>
      </w:r>
      <w:r w:rsidR="007A1AB3">
        <w:rPr>
          <w:lang w:val="de-DE"/>
        </w:rPr>
        <w:t>foils</w:t>
      </w:r>
      <w:r w:rsidRPr="00071623">
        <w:rPr>
          <w:lang w:val="de-DE"/>
        </w:rPr>
        <w:t xml:space="preserve"> have only been available at 60 mm in width.  These </w:t>
      </w:r>
      <w:r w:rsidR="007A1AB3">
        <w:rPr>
          <w:lang w:val="de-DE"/>
        </w:rPr>
        <w:t>foils</w:t>
      </w:r>
      <w:r w:rsidRPr="00071623">
        <w:rPr>
          <w:lang w:val="de-DE"/>
        </w:rPr>
        <w:t xml:space="preserve"> are then slit to 10 or 20mm and wound into electric components.   The wide nanocrystalline </w:t>
      </w:r>
      <w:r w:rsidR="005F2050">
        <w:rPr>
          <w:bCs/>
          <w:lang w:val="de-DE"/>
        </w:rPr>
        <w:t>foil</w:t>
      </w:r>
      <w:r w:rsidRPr="00071623">
        <w:rPr>
          <w:lang w:val="de-DE"/>
        </w:rPr>
        <w:t>, Metglas</w:t>
      </w:r>
      <w:r w:rsidRPr="00071623">
        <w:rPr>
          <w:b/>
          <w:bCs/>
          <w:lang w:val="de-DE"/>
        </w:rPr>
        <w:t>®</w:t>
      </w:r>
      <w:r w:rsidRPr="00071623">
        <w:rPr>
          <w:lang w:val="de-DE"/>
        </w:rPr>
        <w:t xml:space="preserve">FT-3W, can be fabricated into much larger components that eliminate the need for multiple stacked core components for wide applications.  </w:t>
      </w:r>
    </w:p>
    <w:p w14:paraId="635A4F47" w14:textId="77777777" w:rsidR="00071623" w:rsidRPr="00071623" w:rsidRDefault="00071623" w:rsidP="007A1AB3">
      <w:pPr>
        <w:pStyle w:val="BodyText2"/>
        <w:spacing w:line="480" w:lineRule="auto"/>
        <w:jc w:val="both"/>
        <w:rPr>
          <w:lang w:val="de-DE"/>
        </w:rPr>
      </w:pPr>
      <w:r w:rsidRPr="00071623">
        <w:rPr>
          <w:lang w:val="de-DE"/>
        </w:rPr>
        <w:t>The saturation induction of FINMET type alloys is limited to ~ 1.2 T in part because of the reduced Fe content inherent to the chemistry.  This is above the level of many ferrites or Co-based amorphous alloys but significantly below Fe-based amorphous or Si-steels.  The FINEMET chemistry includes Cu to help promote nucleation of the nanocrystalline phase during the furnace anneal and Nb to limit the grain growth to a uniform size distribution near 20 nm.</w:t>
      </w:r>
    </w:p>
    <w:p w14:paraId="1AA03B46" w14:textId="109FF887" w:rsidR="00071623" w:rsidRPr="00071623" w:rsidRDefault="00071623" w:rsidP="007A1AB3">
      <w:pPr>
        <w:pStyle w:val="BodyText2"/>
        <w:spacing w:line="480" w:lineRule="auto"/>
        <w:jc w:val="both"/>
        <w:rPr>
          <w:lang w:val="de-DE"/>
        </w:rPr>
      </w:pPr>
      <w:r w:rsidRPr="00071623">
        <w:rPr>
          <w:lang w:val="de-DE"/>
        </w:rPr>
        <w:t>Many recent studies have focused on increasing the saturation induction to levels of 1.7 – 1.9 T of nanocrystalline alloys through a combination of chemistry modification and annealing conditions [</w:t>
      </w:r>
      <w:r w:rsidR="00FD2307">
        <w:rPr>
          <w:lang w:val="de-DE"/>
        </w:rPr>
        <w:t>10</w:t>
      </w:r>
      <w:r w:rsidRPr="00071623">
        <w:rPr>
          <w:lang w:val="de-DE"/>
        </w:rPr>
        <w:t>, 1</w:t>
      </w:r>
      <w:r w:rsidR="00FD2307">
        <w:rPr>
          <w:lang w:val="de-DE"/>
        </w:rPr>
        <w:t>5</w:t>
      </w:r>
      <w:r w:rsidRPr="00071623">
        <w:rPr>
          <w:lang w:val="de-DE"/>
        </w:rPr>
        <w:t>-1</w:t>
      </w:r>
      <w:r w:rsidR="00FD2307">
        <w:rPr>
          <w:lang w:val="de-DE"/>
        </w:rPr>
        <w:t>9</w:t>
      </w:r>
      <w:r w:rsidRPr="00071623">
        <w:rPr>
          <w:lang w:val="de-DE"/>
        </w:rPr>
        <w:t xml:space="preserve">].  The Fe content is increased by lowering the Nb content which helps to increase the induction level.  The general chemistry for these higher induction level alloys is FeBSiCu with other trace elements.  These alloys are cast into a fully amorphous state or may have nanocrystalline seed particles in the as-cast state.  Then a rapid heat treatment is done to form the final nanocrystalline material.  </w:t>
      </w:r>
      <w:r w:rsidR="007A1AB3">
        <w:rPr>
          <w:lang w:val="de-DE"/>
        </w:rPr>
        <w:t>However, t</w:t>
      </w:r>
      <w:r w:rsidRPr="00071623">
        <w:rPr>
          <w:lang w:val="de-DE"/>
        </w:rPr>
        <w:t>his type of heat treatment is not compatible with the current methods of heat treating amorphous or nanocrystalline cores</w:t>
      </w:r>
      <w:r w:rsidR="008D4FC7">
        <w:rPr>
          <w:lang w:val="de-DE"/>
        </w:rPr>
        <w:t xml:space="preserve"> and this is an area of active research</w:t>
      </w:r>
      <w:r w:rsidRPr="00071623">
        <w:rPr>
          <w:lang w:val="de-DE"/>
        </w:rPr>
        <w:t>.</w:t>
      </w:r>
    </w:p>
    <w:p w14:paraId="100EB62A" w14:textId="77777777" w:rsidR="00071623" w:rsidRPr="00071623" w:rsidRDefault="00071623" w:rsidP="00071623">
      <w:pPr>
        <w:pStyle w:val="BodyText2"/>
        <w:spacing w:line="480" w:lineRule="auto"/>
        <w:rPr>
          <w:lang w:val="de-DE"/>
        </w:rPr>
      </w:pPr>
    </w:p>
    <w:p w14:paraId="1324A75B" w14:textId="3CCD580E" w:rsidR="00071623" w:rsidRPr="00071623" w:rsidRDefault="00071623" w:rsidP="00071623">
      <w:pPr>
        <w:pStyle w:val="BodyText2"/>
        <w:spacing w:line="480" w:lineRule="auto"/>
        <w:rPr>
          <w:b/>
          <w:bCs/>
          <w:lang w:val="en-GB"/>
        </w:rPr>
      </w:pPr>
      <w:r w:rsidRPr="00071623">
        <w:rPr>
          <w:b/>
          <w:bCs/>
          <w:lang w:val="en-GB"/>
        </w:rPr>
        <w:t>Conclusions</w:t>
      </w:r>
      <w:r w:rsidR="00831BCD">
        <w:rPr>
          <w:b/>
          <w:bCs/>
          <w:lang w:val="en-GB"/>
        </w:rPr>
        <w:t>:</w:t>
      </w:r>
    </w:p>
    <w:p w14:paraId="1E1C8C67" w14:textId="53082DEC" w:rsidR="00071623" w:rsidRPr="00071623" w:rsidRDefault="00071623" w:rsidP="007A1AB3">
      <w:pPr>
        <w:pStyle w:val="BodyText2"/>
        <w:spacing w:line="480" w:lineRule="auto"/>
        <w:jc w:val="both"/>
        <w:rPr>
          <w:lang w:val="de-DE"/>
        </w:rPr>
      </w:pPr>
      <w:r w:rsidRPr="00071623">
        <w:rPr>
          <w:lang w:val="de-DE"/>
        </w:rPr>
        <w:t xml:space="preserve">Progress in new amorphous magnetic alloys with higher saturation induction and higher stacking factor have led to smaller electrical distribution transformers that are economically competitive with Si-steel based transformers.  The next generation of amorphous Metglas 2605HB1M foil is being adopted in distribution transformers globally.  Nanocrystalline </w:t>
      </w:r>
      <w:r w:rsidR="005F2050">
        <w:rPr>
          <w:lang w:val="de-DE"/>
        </w:rPr>
        <w:t>foils</w:t>
      </w:r>
      <w:r w:rsidRPr="00071623">
        <w:rPr>
          <w:lang w:val="de-DE"/>
        </w:rPr>
        <w:t xml:space="preserve"> based on the FINEMET chemistry are increasingly being adopted as components for high frequency applications.  New annealing methods are being developed to tailor the magnetic performance for specific applications.  High induction nanocrystalline alloys have also been developed and the fabrication methods for integrating these alloys into electrical components are being studied.</w:t>
      </w:r>
      <w:r w:rsidR="003301A2">
        <w:rPr>
          <w:lang w:val="de-DE"/>
        </w:rPr>
        <w:t xml:space="preserve">  </w:t>
      </w:r>
    </w:p>
    <w:p w14:paraId="48430CC1" w14:textId="23515E65" w:rsidR="00071623" w:rsidRDefault="00071623" w:rsidP="00071623">
      <w:pPr>
        <w:pStyle w:val="BodyText2"/>
        <w:spacing w:line="480" w:lineRule="auto"/>
        <w:rPr>
          <w:lang w:val="de-DE"/>
        </w:rPr>
      </w:pPr>
    </w:p>
    <w:p w14:paraId="039F058A" w14:textId="06A41F22" w:rsidR="00071FD9" w:rsidRDefault="00071FD9" w:rsidP="00071623">
      <w:pPr>
        <w:pStyle w:val="BodyText2"/>
        <w:spacing w:line="480" w:lineRule="auto"/>
        <w:rPr>
          <w:lang w:val="de-DE"/>
        </w:rPr>
      </w:pPr>
    </w:p>
    <w:p w14:paraId="614AFDF7" w14:textId="77777777" w:rsidR="00071FD9" w:rsidRPr="00071623" w:rsidRDefault="00071FD9" w:rsidP="00071623">
      <w:pPr>
        <w:pStyle w:val="BodyText2"/>
        <w:spacing w:line="480" w:lineRule="auto"/>
        <w:rPr>
          <w:lang w:val="de-DE"/>
        </w:rPr>
      </w:pPr>
    </w:p>
    <w:p w14:paraId="4F4D30F0" w14:textId="2CB7DFB0" w:rsidR="00071623" w:rsidRPr="00071623" w:rsidRDefault="00071623" w:rsidP="00071623">
      <w:pPr>
        <w:pStyle w:val="BodyText2"/>
        <w:spacing w:line="480" w:lineRule="auto"/>
        <w:rPr>
          <w:b/>
          <w:bCs/>
          <w:lang w:val="en-GB"/>
        </w:rPr>
      </w:pPr>
      <w:r w:rsidRPr="00071623">
        <w:rPr>
          <w:b/>
          <w:bCs/>
          <w:lang w:val="en-GB"/>
        </w:rPr>
        <w:t>References</w:t>
      </w:r>
      <w:r w:rsidR="00831BCD">
        <w:rPr>
          <w:b/>
          <w:bCs/>
          <w:lang w:val="en-GB"/>
        </w:rPr>
        <w:t>:</w:t>
      </w:r>
    </w:p>
    <w:p w14:paraId="5F5B4572" w14:textId="77777777" w:rsidR="00071623" w:rsidRPr="00071623" w:rsidRDefault="00071623" w:rsidP="00071623">
      <w:pPr>
        <w:pStyle w:val="BodyText2"/>
        <w:spacing w:line="480" w:lineRule="auto"/>
        <w:rPr>
          <w:lang w:val="de-DE"/>
        </w:rPr>
      </w:pPr>
      <w:bookmarkStart w:id="0" w:name="_GoBack"/>
      <w:bookmarkEnd w:id="0"/>
    </w:p>
    <w:p w14:paraId="4B841396" w14:textId="77777777" w:rsidR="00071623" w:rsidRPr="00071623" w:rsidRDefault="00071623" w:rsidP="00071623">
      <w:pPr>
        <w:pStyle w:val="BodyText2"/>
        <w:spacing w:line="480" w:lineRule="auto"/>
        <w:rPr>
          <w:lang w:val="de-DE"/>
        </w:rPr>
      </w:pPr>
      <w:r w:rsidRPr="00071623">
        <w:rPr>
          <w:lang w:val="de-DE"/>
        </w:rPr>
        <w:t xml:space="preserve">1.  C. Smith, in </w:t>
      </w:r>
      <w:r w:rsidRPr="00071623">
        <w:rPr>
          <w:i/>
          <w:lang w:val="de-DE"/>
        </w:rPr>
        <w:t>Rapidly Solidified Alloys</w:t>
      </w:r>
      <w:r w:rsidRPr="00071623">
        <w:rPr>
          <w:lang w:val="de-DE"/>
        </w:rPr>
        <w:t>, edited by H. Liebermann, (Marcel Dekker, New Delhi, 1993) pp. 617-663.</w:t>
      </w:r>
    </w:p>
    <w:p w14:paraId="24F02DEC" w14:textId="77777777" w:rsidR="00071623" w:rsidRPr="00071623" w:rsidRDefault="00071623" w:rsidP="00071623">
      <w:pPr>
        <w:pStyle w:val="BodyText2"/>
        <w:spacing w:line="480" w:lineRule="auto"/>
        <w:rPr>
          <w:lang w:val="de-DE"/>
        </w:rPr>
      </w:pPr>
      <w:r w:rsidRPr="00071623">
        <w:rPr>
          <w:lang w:val="de-DE"/>
        </w:rPr>
        <w:t xml:space="preserve">2. R. Hasegawa, </w:t>
      </w:r>
      <w:r w:rsidRPr="00071623">
        <w:rPr>
          <w:i/>
          <w:lang w:val="de-DE"/>
        </w:rPr>
        <w:t>J. Magn. Magn. Mater</w:t>
      </w:r>
      <w:r w:rsidRPr="00071623">
        <w:rPr>
          <w:lang w:val="de-DE"/>
        </w:rPr>
        <w:t>., 304, 187, (2006).</w:t>
      </w:r>
    </w:p>
    <w:p w14:paraId="2D1E74B4" w14:textId="77777777" w:rsidR="00071623" w:rsidRPr="00071623" w:rsidRDefault="00071623" w:rsidP="00071623">
      <w:pPr>
        <w:pStyle w:val="BodyText2"/>
        <w:spacing w:line="480" w:lineRule="auto"/>
        <w:rPr>
          <w:lang w:val="de-DE"/>
        </w:rPr>
      </w:pPr>
      <w:r w:rsidRPr="00071623">
        <w:rPr>
          <w:lang w:val="de-DE"/>
        </w:rPr>
        <w:t xml:space="preserve">3. D. Li, L. Zhang, G. Li, Z. Lu, and S. Zhou, </w:t>
      </w:r>
      <w:r w:rsidRPr="00071623">
        <w:rPr>
          <w:i/>
          <w:lang w:val="de-DE"/>
        </w:rPr>
        <w:t>Prog. Nat. Sci., Mat. Int</w:t>
      </w:r>
      <w:r w:rsidRPr="00071623">
        <w:rPr>
          <w:lang w:val="de-DE"/>
        </w:rPr>
        <w:t xml:space="preserve">., </w:t>
      </w:r>
      <w:r w:rsidRPr="00071623">
        <w:rPr>
          <w:b/>
          <w:lang w:val="de-DE"/>
        </w:rPr>
        <w:t>22</w:t>
      </w:r>
      <w:r w:rsidRPr="00071623">
        <w:rPr>
          <w:lang w:val="de-DE"/>
        </w:rPr>
        <w:t xml:space="preserve"> 3, 244 (2012).</w:t>
      </w:r>
    </w:p>
    <w:p w14:paraId="046FD930" w14:textId="77777777" w:rsidR="00071623" w:rsidRPr="00071623" w:rsidRDefault="00071623" w:rsidP="00071623">
      <w:pPr>
        <w:pStyle w:val="BodyText2"/>
        <w:spacing w:line="480" w:lineRule="auto"/>
        <w:rPr>
          <w:lang w:val="de-DE"/>
        </w:rPr>
      </w:pPr>
      <w:r w:rsidRPr="00071623">
        <w:rPr>
          <w:lang w:val="de-DE"/>
        </w:rPr>
        <w:t xml:space="preserve">4. D. Raybould, M. Meola, R. Bye and S. Das, </w:t>
      </w:r>
      <w:r w:rsidRPr="00071623">
        <w:rPr>
          <w:i/>
          <w:lang w:val="de-DE"/>
        </w:rPr>
        <w:t>Mat. Sci. Eng</w:t>
      </w:r>
      <w:r w:rsidRPr="00071623">
        <w:rPr>
          <w:lang w:val="de-DE"/>
        </w:rPr>
        <w:t>., A241, 191, (1988).</w:t>
      </w:r>
    </w:p>
    <w:p w14:paraId="51EBB7F7" w14:textId="77777777" w:rsidR="00071623" w:rsidRPr="00071623" w:rsidRDefault="00071623" w:rsidP="00071623">
      <w:pPr>
        <w:pStyle w:val="BodyText2"/>
        <w:spacing w:line="480" w:lineRule="auto"/>
        <w:rPr>
          <w:lang w:val="de-DE"/>
        </w:rPr>
      </w:pPr>
      <w:r w:rsidRPr="00071623">
        <w:rPr>
          <w:lang w:val="de-DE"/>
        </w:rPr>
        <w:t xml:space="preserve">5. M. Willard and M. Danill, in </w:t>
      </w:r>
      <w:r w:rsidRPr="00071623">
        <w:rPr>
          <w:i/>
          <w:lang w:val="de-DE"/>
        </w:rPr>
        <w:t>Handbook of Magnetic Materials, Vol 21</w:t>
      </w:r>
      <w:r w:rsidRPr="00071623">
        <w:rPr>
          <w:lang w:val="de-DE"/>
        </w:rPr>
        <w:t>, edited by K. Buschow, (Elsevier, North Holland, 2013) pp. 173-342.</w:t>
      </w:r>
    </w:p>
    <w:p w14:paraId="5AFD5B0A" w14:textId="77777777" w:rsidR="00071623" w:rsidRPr="00071623" w:rsidRDefault="00071623" w:rsidP="00071623">
      <w:pPr>
        <w:pStyle w:val="BodyText2"/>
        <w:spacing w:line="480" w:lineRule="auto"/>
        <w:rPr>
          <w:lang w:val="de-DE"/>
        </w:rPr>
      </w:pPr>
      <w:r w:rsidRPr="00071623">
        <w:rPr>
          <w:lang w:val="de-DE"/>
        </w:rPr>
        <w:t xml:space="preserve">6. B. Cougo, A. Tuysuz, J. Muhlethaler and J. Kolar, in </w:t>
      </w:r>
      <w:r w:rsidRPr="00071623">
        <w:rPr>
          <w:i/>
          <w:lang w:val="de-DE"/>
        </w:rPr>
        <w:t>Increase of Tape Wound Core Losses Due to Interlamination Short Circuits and Orthogonal Flux Components</w:t>
      </w:r>
      <w:r w:rsidRPr="00071623">
        <w:rPr>
          <w:lang w:val="de-DE"/>
        </w:rPr>
        <w:t>, ( IECON 2011, 37</w:t>
      </w:r>
      <w:r w:rsidRPr="00071623">
        <w:rPr>
          <w:vertAlign w:val="superscript"/>
          <w:lang w:val="de-DE"/>
        </w:rPr>
        <w:t>th</w:t>
      </w:r>
      <w:r w:rsidRPr="00071623">
        <w:rPr>
          <w:lang w:val="de-DE"/>
        </w:rPr>
        <w:t xml:space="preserve"> Ann. Con. IEEE Ind. Ecect. Soc, 2011) pp. 1372-1377.</w:t>
      </w:r>
    </w:p>
    <w:p w14:paraId="449A8671" w14:textId="0A79D768" w:rsidR="00071623" w:rsidRDefault="00071623" w:rsidP="00071623">
      <w:pPr>
        <w:pStyle w:val="BodyText2"/>
        <w:spacing w:line="480" w:lineRule="auto"/>
        <w:rPr>
          <w:lang w:val="de-DE"/>
        </w:rPr>
      </w:pPr>
      <w:r w:rsidRPr="00071623">
        <w:rPr>
          <w:lang w:val="de-DE"/>
        </w:rPr>
        <w:t xml:space="preserve">7. X. Wang, C. Lu, F. Guo, Z. Lu, D. Li and S. Zhou, </w:t>
      </w:r>
      <w:r w:rsidRPr="00071623">
        <w:rPr>
          <w:i/>
          <w:lang w:val="de-DE"/>
        </w:rPr>
        <w:t>J. Magn. Magn. Mater</w:t>
      </w:r>
      <w:r w:rsidRPr="00071623">
        <w:rPr>
          <w:lang w:val="de-DE"/>
        </w:rPr>
        <w:t>. 324, 2727, (2012).</w:t>
      </w:r>
    </w:p>
    <w:p w14:paraId="7F496F6B" w14:textId="253EFCB3" w:rsidR="00FD2307" w:rsidRDefault="00FD2307" w:rsidP="00FD2307">
      <w:pPr>
        <w:pStyle w:val="BodyText2"/>
        <w:spacing w:line="480" w:lineRule="auto"/>
        <w:rPr>
          <w:lang w:val="de-DE"/>
        </w:rPr>
      </w:pPr>
      <w:r>
        <w:rPr>
          <w:lang w:val="de-DE"/>
        </w:rPr>
        <w:t xml:space="preserve">8. </w:t>
      </w:r>
      <w:r w:rsidRPr="00FD2307">
        <w:t>P.H. Steen and C. Karcher: Ann. Rev. Fluid Mech., 1997, vol. 29,</w:t>
      </w:r>
      <w:r>
        <w:t xml:space="preserve"> </w:t>
      </w:r>
      <w:r w:rsidRPr="00FD2307">
        <w:t>pp. 373-97.</w:t>
      </w:r>
    </w:p>
    <w:p w14:paraId="279B7F5F" w14:textId="6F4CF135" w:rsidR="00FD2307" w:rsidRPr="00071623" w:rsidRDefault="00FD2307" w:rsidP="00FD2307">
      <w:pPr>
        <w:pStyle w:val="BodyText2"/>
        <w:spacing w:line="480" w:lineRule="auto"/>
        <w:rPr>
          <w:lang w:val="de-DE"/>
        </w:rPr>
      </w:pPr>
      <w:r>
        <w:rPr>
          <w:lang w:val="de-DE"/>
        </w:rPr>
        <w:t xml:space="preserve">9. </w:t>
      </w:r>
      <w:r w:rsidRPr="00FD2307">
        <w:t>Byrne, C., W</w:t>
      </w:r>
      <w:r>
        <w:t xml:space="preserve">einstein, S., and Steen, P.H., </w:t>
      </w:r>
      <w:r w:rsidRPr="00FD2307">
        <w:t>Chem. Eng. Sci. 61, 8004–8009</w:t>
      </w:r>
      <w:r>
        <w:t xml:space="preserve"> (2006).</w:t>
      </w:r>
    </w:p>
    <w:p w14:paraId="772487E5" w14:textId="2E571966" w:rsidR="00071623" w:rsidRPr="00071623" w:rsidRDefault="00FD2307" w:rsidP="00071623">
      <w:pPr>
        <w:pStyle w:val="BodyText2"/>
        <w:spacing w:line="480" w:lineRule="auto"/>
        <w:rPr>
          <w:lang w:val="de-DE"/>
        </w:rPr>
      </w:pPr>
      <w:r>
        <w:rPr>
          <w:lang w:val="de-DE"/>
        </w:rPr>
        <w:t>10</w:t>
      </w:r>
      <w:r w:rsidR="00071623" w:rsidRPr="00071623">
        <w:rPr>
          <w:lang w:val="de-DE"/>
        </w:rPr>
        <w:t>. M. Ohta and R. Hasegawa, IEEE Trans. Mag. 53, 2, (2017).</w:t>
      </w:r>
    </w:p>
    <w:p w14:paraId="4F7E5D24" w14:textId="634A24C7" w:rsidR="00071623" w:rsidRPr="00071623" w:rsidRDefault="00FD2307" w:rsidP="00071623">
      <w:pPr>
        <w:pStyle w:val="BodyText2"/>
        <w:spacing w:line="480" w:lineRule="auto"/>
        <w:rPr>
          <w:lang w:val="de-DE"/>
        </w:rPr>
      </w:pPr>
      <w:r>
        <w:rPr>
          <w:lang w:val="de-DE"/>
        </w:rPr>
        <w:t>11</w:t>
      </w:r>
      <w:r w:rsidR="00071623" w:rsidRPr="00071623">
        <w:rPr>
          <w:lang w:val="de-DE"/>
        </w:rPr>
        <w:t xml:space="preserve">. B. Kennedy, </w:t>
      </w:r>
      <w:r w:rsidR="00071623" w:rsidRPr="00071623">
        <w:rPr>
          <w:i/>
          <w:lang w:val="de-DE"/>
        </w:rPr>
        <w:t>Energy Efficient Transformers</w:t>
      </w:r>
      <w:r w:rsidR="00071623" w:rsidRPr="00071623">
        <w:rPr>
          <w:lang w:val="de-DE"/>
        </w:rPr>
        <w:t>, (McGraw Hill, New York, 1998), p. 127.</w:t>
      </w:r>
    </w:p>
    <w:p w14:paraId="3DC81F25" w14:textId="5F688D0E" w:rsidR="00071623" w:rsidRPr="00071623" w:rsidRDefault="00071623" w:rsidP="00071623">
      <w:pPr>
        <w:pStyle w:val="BodyText2"/>
        <w:spacing w:line="480" w:lineRule="auto"/>
        <w:rPr>
          <w:lang w:val="de-DE"/>
        </w:rPr>
      </w:pPr>
      <w:r w:rsidRPr="00071623">
        <w:rPr>
          <w:lang w:val="de-DE"/>
        </w:rPr>
        <w:t>1</w:t>
      </w:r>
      <w:r w:rsidR="00FD2307">
        <w:rPr>
          <w:lang w:val="de-DE"/>
        </w:rPr>
        <w:t>2</w:t>
      </w:r>
      <w:r w:rsidRPr="00071623">
        <w:rPr>
          <w:lang w:val="de-DE"/>
        </w:rPr>
        <w:t xml:space="preserve">. K. Takahashi, D. Azuma and R. Hasegawa, </w:t>
      </w:r>
      <w:r w:rsidRPr="00071623">
        <w:rPr>
          <w:i/>
          <w:lang w:val="de-DE"/>
        </w:rPr>
        <w:t>IEEE Trans. Mag</w:t>
      </w:r>
      <w:r w:rsidRPr="00071623">
        <w:rPr>
          <w:lang w:val="de-DE"/>
        </w:rPr>
        <w:t xml:space="preserve">. 49, 4001, (2013). </w:t>
      </w:r>
    </w:p>
    <w:p w14:paraId="415FABF4" w14:textId="734CB9AE" w:rsidR="00071623" w:rsidRPr="00071623" w:rsidRDefault="00071623" w:rsidP="00071623">
      <w:pPr>
        <w:pStyle w:val="BodyText2"/>
        <w:spacing w:line="480" w:lineRule="auto"/>
        <w:rPr>
          <w:lang w:val="de-DE"/>
        </w:rPr>
      </w:pPr>
      <w:r w:rsidRPr="00071623">
        <w:rPr>
          <w:lang w:val="de-DE"/>
        </w:rPr>
        <w:t>1</w:t>
      </w:r>
      <w:r w:rsidR="00FD2307">
        <w:rPr>
          <w:lang w:val="de-DE"/>
        </w:rPr>
        <w:t>3</w:t>
      </w:r>
      <w:r w:rsidRPr="00071623">
        <w:rPr>
          <w:lang w:val="de-DE"/>
        </w:rPr>
        <w:t xml:space="preserve">. G. Herzer, in </w:t>
      </w:r>
      <w:r w:rsidRPr="00071623">
        <w:rPr>
          <w:i/>
          <w:lang w:val="de-DE"/>
        </w:rPr>
        <w:t>Handbook of Magnetic Materials, Vol 10</w:t>
      </w:r>
      <w:r w:rsidRPr="00071623">
        <w:rPr>
          <w:lang w:val="de-DE"/>
        </w:rPr>
        <w:t>, edited by K. Buschow, (Elsevier, North Holland, 1997) pp. 415-462.</w:t>
      </w:r>
    </w:p>
    <w:p w14:paraId="0E547D7F" w14:textId="785A5799" w:rsidR="00071623" w:rsidRPr="00071623" w:rsidRDefault="00071623" w:rsidP="00071623">
      <w:pPr>
        <w:pStyle w:val="BodyText2"/>
        <w:spacing w:line="480" w:lineRule="auto"/>
        <w:rPr>
          <w:lang w:val="de-DE"/>
        </w:rPr>
      </w:pPr>
      <w:r w:rsidRPr="00071623">
        <w:rPr>
          <w:lang w:val="de-DE"/>
        </w:rPr>
        <w:t>1</w:t>
      </w:r>
      <w:r w:rsidR="00FD2307">
        <w:rPr>
          <w:lang w:val="de-DE"/>
        </w:rPr>
        <w:t>4</w:t>
      </w:r>
      <w:r w:rsidRPr="00071623">
        <w:rPr>
          <w:lang w:val="de-DE"/>
        </w:rPr>
        <w:t>. High Performance Nanocrystalline Foil Product Release Sheet (2015). Available at: http://www.metglas.com/products/nanocrystallinefoil/... (accessed 2 May 2017).</w:t>
      </w:r>
    </w:p>
    <w:p w14:paraId="5A5F1A0C" w14:textId="628D2702" w:rsidR="00071623" w:rsidRPr="00071623" w:rsidRDefault="00071623" w:rsidP="00071623">
      <w:pPr>
        <w:pStyle w:val="BodyText2"/>
        <w:spacing w:line="480" w:lineRule="auto"/>
        <w:rPr>
          <w:lang w:val="de-DE"/>
        </w:rPr>
      </w:pPr>
      <w:r w:rsidRPr="00071623">
        <w:rPr>
          <w:lang w:val="de-DE"/>
        </w:rPr>
        <w:t>1</w:t>
      </w:r>
      <w:r w:rsidR="00FD2307">
        <w:rPr>
          <w:lang w:val="de-DE"/>
        </w:rPr>
        <w:t>5</w:t>
      </w:r>
      <w:r w:rsidRPr="00071623">
        <w:rPr>
          <w:lang w:val="de-DE"/>
        </w:rPr>
        <w:t xml:space="preserve">. M. Ohta, and Y. Yoshizawa, </w:t>
      </w:r>
      <w:r w:rsidRPr="00071623">
        <w:rPr>
          <w:i/>
          <w:lang w:val="de-DE"/>
        </w:rPr>
        <w:t>J. Phys. D., App. Phys</w:t>
      </w:r>
      <w:r w:rsidRPr="00071623">
        <w:rPr>
          <w:lang w:val="de-DE"/>
        </w:rPr>
        <w:t>, 44, 1, (2011).</w:t>
      </w:r>
    </w:p>
    <w:p w14:paraId="0D771EF2" w14:textId="1633EAEC" w:rsidR="00071623" w:rsidRPr="00071623" w:rsidRDefault="00071623" w:rsidP="00071623">
      <w:pPr>
        <w:pStyle w:val="BodyText2"/>
        <w:spacing w:line="480" w:lineRule="auto"/>
        <w:rPr>
          <w:lang w:val="de-DE"/>
        </w:rPr>
      </w:pPr>
      <w:r w:rsidRPr="00071623">
        <w:rPr>
          <w:lang w:val="de-DE"/>
        </w:rPr>
        <w:t>1</w:t>
      </w:r>
      <w:r w:rsidR="00FD2307">
        <w:rPr>
          <w:lang w:val="de-DE"/>
        </w:rPr>
        <w:t>6</w:t>
      </w:r>
      <w:r w:rsidRPr="00071623">
        <w:rPr>
          <w:lang w:val="de-DE"/>
        </w:rPr>
        <w:t xml:space="preserve">. P. Sharma, X. Zhang, Y. Zhang, A. Makinol, </w:t>
      </w:r>
      <w:r w:rsidRPr="00071623">
        <w:rPr>
          <w:i/>
          <w:lang w:val="de-DE"/>
        </w:rPr>
        <w:t>Scripta Materialia</w:t>
      </w:r>
      <w:r w:rsidRPr="00071623">
        <w:rPr>
          <w:lang w:val="de-DE"/>
        </w:rPr>
        <w:t>, 92, 6, (2015).</w:t>
      </w:r>
    </w:p>
    <w:p w14:paraId="2DEAE290" w14:textId="79059439" w:rsidR="00071623" w:rsidRPr="00071623" w:rsidRDefault="00071623" w:rsidP="00071623">
      <w:pPr>
        <w:pStyle w:val="BodyText2"/>
        <w:spacing w:line="480" w:lineRule="auto"/>
        <w:rPr>
          <w:lang w:val="de-DE"/>
        </w:rPr>
      </w:pPr>
      <w:r w:rsidRPr="00071623">
        <w:rPr>
          <w:lang w:val="de-DE"/>
        </w:rPr>
        <w:t>1</w:t>
      </w:r>
      <w:r w:rsidR="00FD2307">
        <w:rPr>
          <w:lang w:val="de-DE"/>
        </w:rPr>
        <w:t>7</w:t>
      </w:r>
      <w:r w:rsidRPr="00071623">
        <w:rPr>
          <w:lang w:val="de-DE"/>
        </w:rPr>
        <w:t xml:space="preserve">. B. Zang, R. Parsons, K. Onodera, H. Kishimoto, A. Kato, A. Liu and K. Suzuki, </w:t>
      </w:r>
      <w:r w:rsidRPr="00071623">
        <w:rPr>
          <w:i/>
          <w:lang w:val="de-DE"/>
        </w:rPr>
        <w:t>Scripta Materialia</w:t>
      </w:r>
      <w:r w:rsidRPr="00071623">
        <w:rPr>
          <w:lang w:val="de-DE"/>
        </w:rPr>
        <w:t>, 132, 68, (2017).</w:t>
      </w:r>
    </w:p>
    <w:p w14:paraId="27026E14" w14:textId="3249C7CE" w:rsidR="00071623" w:rsidRPr="00071623" w:rsidRDefault="00071623" w:rsidP="00071623">
      <w:pPr>
        <w:pStyle w:val="BodyText2"/>
        <w:spacing w:line="480" w:lineRule="auto"/>
        <w:rPr>
          <w:lang w:val="de-DE"/>
        </w:rPr>
      </w:pPr>
      <w:r w:rsidRPr="00071623">
        <w:rPr>
          <w:lang w:val="de-DE"/>
        </w:rPr>
        <w:t>1</w:t>
      </w:r>
      <w:r w:rsidR="00FD2307">
        <w:rPr>
          <w:lang w:val="de-DE"/>
        </w:rPr>
        <w:t>8</w:t>
      </w:r>
      <w:r w:rsidRPr="00071623">
        <w:rPr>
          <w:lang w:val="de-DE"/>
        </w:rPr>
        <w:t xml:space="preserve">. H. Jung, M. Stoica, S. Yi, D. Kim and J. Eckert, </w:t>
      </w:r>
      <w:r w:rsidRPr="00071623">
        <w:rPr>
          <w:i/>
          <w:lang w:val="de-DE"/>
        </w:rPr>
        <w:t>Met. Mat. Trans. A</w:t>
      </w:r>
      <w:r w:rsidRPr="00071623">
        <w:rPr>
          <w:lang w:val="de-DE"/>
        </w:rPr>
        <w:t>, 45A, 2415, (2015).</w:t>
      </w:r>
    </w:p>
    <w:p w14:paraId="698B8E08" w14:textId="14FDE9CA" w:rsidR="00A850F7" w:rsidRDefault="00071623">
      <w:pPr>
        <w:pStyle w:val="BodyText2"/>
        <w:spacing w:line="480" w:lineRule="auto"/>
        <w:rPr>
          <w:b/>
          <w:u w:val="single"/>
        </w:rPr>
      </w:pPr>
      <w:r w:rsidRPr="00071623">
        <w:rPr>
          <w:lang w:val="de-DE"/>
        </w:rPr>
        <w:t>1</w:t>
      </w:r>
      <w:r w:rsidR="00FD2307">
        <w:rPr>
          <w:lang w:val="de-DE"/>
        </w:rPr>
        <w:t>9</w:t>
      </w:r>
      <w:r w:rsidRPr="00071623">
        <w:rPr>
          <w:lang w:val="de-DE"/>
        </w:rPr>
        <w:t xml:space="preserve">. A. Leary, P. Ohodnicki and M. McHenry, </w:t>
      </w:r>
      <w:r w:rsidRPr="00071623">
        <w:rPr>
          <w:i/>
          <w:lang w:val="de-DE"/>
        </w:rPr>
        <w:t>JOM</w:t>
      </w:r>
      <w:r w:rsidRPr="00071623">
        <w:rPr>
          <w:lang w:val="de-DE"/>
        </w:rPr>
        <w:t>, 64, 772, (2012).</w:t>
      </w:r>
    </w:p>
    <w:sectPr w:rsidR="00A850F7">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6F4FF" w14:textId="77777777" w:rsidR="00F04D57" w:rsidRDefault="00F04D57" w:rsidP="002C49C1">
      <w:r>
        <w:separator/>
      </w:r>
    </w:p>
  </w:endnote>
  <w:endnote w:type="continuationSeparator" w:id="0">
    <w:p w14:paraId="69D00077" w14:textId="77777777" w:rsidR="00F04D57" w:rsidRDefault="00F04D57" w:rsidP="002C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D3EE0" w14:textId="77777777" w:rsidR="00F04D57" w:rsidRDefault="00F04D57" w:rsidP="002C49C1">
      <w:r>
        <w:separator/>
      </w:r>
    </w:p>
  </w:footnote>
  <w:footnote w:type="continuationSeparator" w:id="0">
    <w:p w14:paraId="0A4A69D9" w14:textId="77777777" w:rsidR="00F04D57" w:rsidRDefault="00F04D57" w:rsidP="002C4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52033"/>
    <w:multiLevelType w:val="singleLevel"/>
    <w:tmpl w:val="16D8D10C"/>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F7"/>
    <w:rsid w:val="00071623"/>
    <w:rsid w:val="00071FD9"/>
    <w:rsid w:val="000877D1"/>
    <w:rsid w:val="000B3A6B"/>
    <w:rsid w:val="000D33F2"/>
    <w:rsid w:val="001D14F9"/>
    <w:rsid w:val="00296E0F"/>
    <w:rsid w:val="002C49C1"/>
    <w:rsid w:val="002C7C02"/>
    <w:rsid w:val="003301A2"/>
    <w:rsid w:val="005121C8"/>
    <w:rsid w:val="005562F6"/>
    <w:rsid w:val="005B4AA6"/>
    <w:rsid w:val="005F2050"/>
    <w:rsid w:val="00795D4E"/>
    <w:rsid w:val="007A1AB3"/>
    <w:rsid w:val="00822A5A"/>
    <w:rsid w:val="00831BCD"/>
    <w:rsid w:val="008D4FC7"/>
    <w:rsid w:val="008E17C2"/>
    <w:rsid w:val="00955D68"/>
    <w:rsid w:val="00A446A1"/>
    <w:rsid w:val="00A5534F"/>
    <w:rsid w:val="00A850F7"/>
    <w:rsid w:val="00AC1523"/>
    <w:rsid w:val="00AE1B86"/>
    <w:rsid w:val="00B16C78"/>
    <w:rsid w:val="00B20C0A"/>
    <w:rsid w:val="00BB25C6"/>
    <w:rsid w:val="00C74B61"/>
    <w:rsid w:val="00CF0B5B"/>
    <w:rsid w:val="00D31E68"/>
    <w:rsid w:val="00D70D32"/>
    <w:rsid w:val="00E0136F"/>
    <w:rsid w:val="00E06A34"/>
    <w:rsid w:val="00E37CFE"/>
    <w:rsid w:val="00E73A06"/>
    <w:rsid w:val="00E80178"/>
    <w:rsid w:val="00E845F9"/>
    <w:rsid w:val="00F04D57"/>
    <w:rsid w:val="00F5366E"/>
    <w:rsid w:val="00FD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7C3CA1"/>
  <w15:docId w15:val="{39C24453-8D73-4A7C-97A9-8DECA292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Helvetica" w:hAnsi="Helvetica"/>
    </w:rPr>
  </w:style>
  <w:style w:type="paragraph" w:styleId="BodyText2">
    <w:name w:val="Body Text 2"/>
    <w:basedOn w:val="Normal"/>
    <w:semiHidden/>
    <w:pPr>
      <w:spacing w:line="240" w:lineRule="atLeast"/>
    </w:pPr>
    <w:rPr>
      <w:rFonts w:ascii="Helvetica" w:hAnsi="Helvetica"/>
      <w:snapToGrid w:val="0"/>
      <w:color w:val="000000"/>
    </w:rPr>
  </w:style>
  <w:style w:type="paragraph" w:styleId="BalloonText">
    <w:name w:val="Balloon Text"/>
    <w:basedOn w:val="Normal"/>
    <w:link w:val="BalloonTextChar"/>
    <w:uiPriority w:val="99"/>
    <w:semiHidden/>
    <w:unhideWhenUsed/>
    <w:rsid w:val="00955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D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o\AppData\Local\Microsoft\Windows\Temporary%20Internet%20Files\Content.Outlook\52ND9ECJ\extended%20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extended abstract.dot</Template>
  <TotalTime>4827</TotalTime>
  <Pages>9</Pages>
  <Words>2372</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Pressurized Gravure Coating</vt:lpstr>
    </vt:vector>
  </TitlesOfParts>
  <Company>Dupont</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Pressurized Gravure Coating</dc:title>
  <dc:subject/>
  <dc:creator>Marcio</dc:creator>
  <cp:keywords/>
  <dc:description/>
  <cp:lastModifiedBy>Theisen, Eric</cp:lastModifiedBy>
  <cp:revision>12</cp:revision>
  <cp:lastPrinted>2020-07-20T20:35:00Z</cp:lastPrinted>
  <dcterms:created xsi:type="dcterms:W3CDTF">2020-07-16T19:29:00Z</dcterms:created>
  <dcterms:modified xsi:type="dcterms:W3CDTF">2020-07-20T22:27:00Z</dcterms:modified>
</cp:coreProperties>
</file>