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C770E6" w14:textId="586F4FE8" w:rsidR="004B6FEA" w:rsidRPr="004B6FEA" w:rsidRDefault="004B6FEA" w:rsidP="004B6FEA">
      <w:pPr>
        <w:jc w:val="center"/>
        <w:rPr>
          <w:rFonts w:ascii="Helvetica" w:hAnsi="Helvetica"/>
          <w:b/>
          <w:sz w:val="28"/>
          <w:szCs w:val="28"/>
        </w:rPr>
      </w:pPr>
      <w:r w:rsidRPr="004B6FEA">
        <w:rPr>
          <w:rFonts w:eastAsiaTheme="minorHAnsi"/>
          <w:sz w:val="24"/>
          <w:szCs w:val="24"/>
        </w:rPr>
        <w:t xml:space="preserve"> </w:t>
      </w:r>
      <w:r w:rsidRPr="004B6FEA">
        <w:rPr>
          <w:rFonts w:ascii="Helvetica" w:hAnsi="Helvetica"/>
          <w:b/>
          <w:sz w:val="28"/>
          <w:szCs w:val="28"/>
        </w:rPr>
        <w:t>SIMULATION OF SLOT-COATING OF NANOCELLULOSIC MATERIAL SUBJECT TO A WALL- STRESS DEPENDENT SLIP-VELOCITY AT DIE-WALLS</w:t>
      </w:r>
    </w:p>
    <w:p w14:paraId="174F8F30" w14:textId="2C8C59CA" w:rsidR="008E17C2" w:rsidRDefault="008E17C2">
      <w:pPr>
        <w:jc w:val="center"/>
        <w:rPr>
          <w:rFonts w:ascii="Helvetica" w:hAnsi="Helvetica"/>
          <w:b/>
          <w:sz w:val="28"/>
          <w:szCs w:val="28"/>
        </w:rPr>
      </w:pPr>
    </w:p>
    <w:p w14:paraId="6234ECBE" w14:textId="77777777" w:rsidR="00A850F7" w:rsidRPr="00A850F7" w:rsidRDefault="00A850F7">
      <w:pPr>
        <w:jc w:val="center"/>
        <w:rPr>
          <w:rFonts w:ascii="Helvetica" w:hAnsi="Helvetica"/>
          <w:b/>
          <w:sz w:val="28"/>
          <w:szCs w:val="28"/>
        </w:rPr>
      </w:pPr>
    </w:p>
    <w:p w14:paraId="236B19BB" w14:textId="56FAC770" w:rsidR="008E17C2" w:rsidRPr="005E4798" w:rsidRDefault="004B6FEA">
      <w:pPr>
        <w:jc w:val="center"/>
        <w:rPr>
          <w:rFonts w:ascii="Helvetica" w:hAnsi="Helvetica"/>
          <w:b/>
          <w:sz w:val="24"/>
          <w:szCs w:val="24"/>
          <w:vertAlign w:val="superscript"/>
        </w:rPr>
      </w:pPr>
      <w:r w:rsidRPr="004B6FEA">
        <w:rPr>
          <w:rFonts w:ascii="Calibri" w:hAnsi="Calibri" w:cs="Calibri"/>
          <w:sz w:val="22"/>
          <w:szCs w:val="22"/>
          <w:lang w:eastAsia="sv-FI"/>
        </w:rPr>
        <w:t xml:space="preserve"> </w:t>
      </w:r>
      <w:r w:rsidRPr="005E4798">
        <w:rPr>
          <w:rFonts w:ascii="Helvetica" w:hAnsi="Helvetica"/>
          <w:b/>
          <w:sz w:val="24"/>
          <w:szCs w:val="24"/>
        </w:rPr>
        <w:t>Fuaad Panikaveetil Ahamed Kutty</w:t>
      </w:r>
      <w:r w:rsidRPr="005E4798">
        <w:rPr>
          <w:rFonts w:ascii="Helvetica" w:hAnsi="Helvetica"/>
          <w:b/>
          <w:sz w:val="24"/>
          <w:szCs w:val="24"/>
          <w:vertAlign w:val="superscript"/>
        </w:rPr>
        <w:t>1</w:t>
      </w:r>
      <w:r w:rsidRPr="005E4798">
        <w:rPr>
          <w:rFonts w:ascii="Helvetica" w:hAnsi="Helvetica"/>
          <w:b/>
          <w:sz w:val="24"/>
          <w:szCs w:val="24"/>
        </w:rPr>
        <w:t>, Martti Toivakka</w:t>
      </w:r>
      <w:r w:rsidRPr="005E4798">
        <w:rPr>
          <w:rFonts w:ascii="Helvetica" w:hAnsi="Helvetica"/>
          <w:b/>
          <w:sz w:val="24"/>
          <w:szCs w:val="24"/>
          <w:vertAlign w:val="superscript"/>
        </w:rPr>
        <w:t>1</w:t>
      </w:r>
      <w:r w:rsidRPr="005E4798">
        <w:rPr>
          <w:rFonts w:ascii="Helvetica" w:hAnsi="Helvetica"/>
          <w:b/>
          <w:sz w:val="24"/>
          <w:szCs w:val="24"/>
        </w:rPr>
        <w:t>, Agne Swerin</w:t>
      </w:r>
      <w:r w:rsidRPr="005E4798">
        <w:rPr>
          <w:rFonts w:ascii="Helvetica" w:hAnsi="Helvetica"/>
          <w:b/>
          <w:sz w:val="24"/>
          <w:szCs w:val="24"/>
          <w:vertAlign w:val="superscript"/>
        </w:rPr>
        <w:t>2</w:t>
      </w:r>
      <w:r w:rsidRPr="005E4798">
        <w:rPr>
          <w:rFonts w:ascii="Helvetica" w:hAnsi="Helvetica"/>
          <w:b/>
          <w:sz w:val="24"/>
          <w:szCs w:val="24"/>
        </w:rPr>
        <w:t>, Fredrik Lundell</w:t>
      </w:r>
      <w:r w:rsidRPr="005E4798">
        <w:rPr>
          <w:rFonts w:ascii="Helvetica" w:hAnsi="Helvetica"/>
          <w:b/>
          <w:sz w:val="24"/>
          <w:szCs w:val="24"/>
          <w:vertAlign w:val="superscript"/>
        </w:rPr>
        <w:t>2</w:t>
      </w:r>
    </w:p>
    <w:p w14:paraId="7EDAF331" w14:textId="6234F7F8" w:rsidR="004B6FEA" w:rsidRPr="004B6FEA" w:rsidRDefault="0058059E" w:rsidP="004B6FEA">
      <w:pPr>
        <w:jc w:val="center"/>
        <w:rPr>
          <w:rFonts w:ascii="Helvetica" w:hAnsi="Helvetica"/>
          <w:b/>
          <w:sz w:val="24"/>
          <w:szCs w:val="24"/>
        </w:rPr>
      </w:pPr>
      <w:r>
        <w:rPr>
          <w:rFonts w:ascii="Helvetica" w:hAnsi="Helvetica"/>
          <w:b/>
          <w:sz w:val="24"/>
          <w:szCs w:val="24"/>
          <w:vertAlign w:val="superscript"/>
        </w:rPr>
        <w:t>1</w:t>
      </w:r>
      <w:r w:rsidR="004B6FEA" w:rsidRPr="004B6FEA">
        <w:rPr>
          <w:rFonts w:ascii="Helvetica" w:hAnsi="Helvetica"/>
          <w:b/>
          <w:sz w:val="24"/>
          <w:szCs w:val="24"/>
        </w:rPr>
        <w:t>Åbo Akademi University, Turku, Finland</w:t>
      </w:r>
      <w:r w:rsidR="004B6FEA" w:rsidRPr="004B6FEA">
        <w:rPr>
          <w:rFonts w:ascii="Helvetica" w:hAnsi="Helvetica"/>
          <w:b/>
          <w:sz w:val="24"/>
          <w:szCs w:val="24"/>
        </w:rPr>
        <w:br/>
      </w:r>
      <w:r w:rsidR="004B6FEA" w:rsidRPr="004B6FEA">
        <w:rPr>
          <w:rFonts w:ascii="Helvetica" w:hAnsi="Helvetica"/>
          <w:b/>
          <w:sz w:val="24"/>
          <w:szCs w:val="24"/>
          <w:vertAlign w:val="superscript"/>
        </w:rPr>
        <w:t xml:space="preserve">2 </w:t>
      </w:r>
      <w:r w:rsidR="004B6FEA" w:rsidRPr="004B6FEA">
        <w:rPr>
          <w:rFonts w:ascii="Helvetica" w:hAnsi="Helvetica"/>
          <w:b/>
          <w:sz w:val="24"/>
          <w:szCs w:val="24"/>
        </w:rPr>
        <w:t>Royal Institute of Technology KTH, Stockholm, Sweden</w:t>
      </w:r>
    </w:p>
    <w:p w14:paraId="6DC1EF79" w14:textId="77777777" w:rsidR="004B6FEA" w:rsidRDefault="004B6FEA">
      <w:pPr>
        <w:jc w:val="center"/>
        <w:rPr>
          <w:rFonts w:ascii="Helvetica" w:hAnsi="Helvetica"/>
          <w:b/>
          <w:sz w:val="24"/>
          <w:szCs w:val="24"/>
        </w:rPr>
      </w:pPr>
    </w:p>
    <w:p w14:paraId="0CA15B8B" w14:textId="77777777" w:rsidR="00A850F7" w:rsidRPr="00A850F7" w:rsidRDefault="00A850F7">
      <w:pPr>
        <w:jc w:val="center"/>
        <w:rPr>
          <w:rFonts w:ascii="Helvetica" w:hAnsi="Helvetica"/>
          <w:b/>
          <w:sz w:val="28"/>
          <w:szCs w:val="28"/>
        </w:rPr>
      </w:pPr>
    </w:p>
    <w:p w14:paraId="25419B52" w14:textId="4CC7CBEF" w:rsidR="008E17C2" w:rsidRDefault="00A850F7">
      <w:pPr>
        <w:jc w:val="center"/>
        <w:rPr>
          <w:rFonts w:ascii="Helvetica" w:hAnsi="Helvetica"/>
        </w:rPr>
      </w:pPr>
      <w:r>
        <w:rPr>
          <w:rFonts w:ascii="Helvetica" w:hAnsi="Helvetica"/>
        </w:rPr>
        <w:t xml:space="preserve">Presented at the </w:t>
      </w:r>
      <w:r w:rsidR="005562F6">
        <w:rPr>
          <w:rFonts w:ascii="Helvetica" w:hAnsi="Helvetica"/>
        </w:rPr>
        <w:t>20</w:t>
      </w:r>
      <w:r>
        <w:rPr>
          <w:rFonts w:ascii="Helvetica" w:hAnsi="Helvetica"/>
          <w:vertAlign w:val="superscript"/>
        </w:rPr>
        <w:t>th</w:t>
      </w:r>
      <w:r>
        <w:rPr>
          <w:rFonts w:ascii="Helvetica" w:hAnsi="Helvetica"/>
        </w:rPr>
        <w:t xml:space="preserve"> International Coating Science and Technology Symposium</w:t>
      </w:r>
    </w:p>
    <w:p w14:paraId="60F058A0" w14:textId="2ED563BA" w:rsidR="008E17C2" w:rsidRDefault="00A850F7">
      <w:pPr>
        <w:jc w:val="center"/>
        <w:rPr>
          <w:rFonts w:ascii="Helvetica" w:hAnsi="Helvetica"/>
        </w:rPr>
      </w:pPr>
      <w:r>
        <w:rPr>
          <w:rFonts w:ascii="Helvetica" w:hAnsi="Helvetica"/>
        </w:rPr>
        <w:t xml:space="preserve">September </w:t>
      </w:r>
      <w:r w:rsidR="00D70D32">
        <w:rPr>
          <w:rFonts w:ascii="Helvetica" w:hAnsi="Helvetica"/>
        </w:rPr>
        <w:t>20</w:t>
      </w:r>
      <w:r>
        <w:rPr>
          <w:rFonts w:ascii="Helvetica" w:hAnsi="Helvetica"/>
        </w:rPr>
        <w:t>-</w:t>
      </w:r>
      <w:r w:rsidR="00D70D32">
        <w:rPr>
          <w:rFonts w:ascii="Helvetica" w:hAnsi="Helvetica"/>
        </w:rPr>
        <w:t>23</w:t>
      </w:r>
      <w:r>
        <w:rPr>
          <w:rFonts w:ascii="Helvetica" w:hAnsi="Helvetica"/>
        </w:rPr>
        <w:t>, 20</w:t>
      </w:r>
      <w:r w:rsidR="00D70D32">
        <w:rPr>
          <w:rFonts w:ascii="Helvetica" w:hAnsi="Helvetica"/>
        </w:rPr>
        <w:t>20</w:t>
      </w:r>
    </w:p>
    <w:p w14:paraId="7F84E908" w14:textId="7973EDA0" w:rsidR="008E17C2" w:rsidRDefault="005121C8">
      <w:pPr>
        <w:jc w:val="center"/>
        <w:rPr>
          <w:rFonts w:ascii="Helvetica" w:hAnsi="Helvetica"/>
        </w:rPr>
      </w:pPr>
      <w:r>
        <w:rPr>
          <w:rFonts w:ascii="Helvetica" w:hAnsi="Helvetica"/>
        </w:rPr>
        <w:t>Minneapolis</w:t>
      </w:r>
      <w:r w:rsidR="00A850F7">
        <w:rPr>
          <w:rFonts w:ascii="Helvetica" w:hAnsi="Helvetica"/>
        </w:rPr>
        <w:t xml:space="preserve">, </w:t>
      </w:r>
      <w:r>
        <w:rPr>
          <w:rFonts w:ascii="Helvetica" w:hAnsi="Helvetica"/>
        </w:rPr>
        <w:t>MN</w:t>
      </w:r>
      <w:r w:rsidR="00A850F7">
        <w:rPr>
          <w:rFonts w:ascii="Helvetica" w:hAnsi="Helvetica"/>
        </w:rPr>
        <w:t>, USA</w:t>
      </w:r>
    </w:p>
    <w:p w14:paraId="28ECE23A" w14:textId="77777777" w:rsidR="008E17C2" w:rsidRDefault="008E17C2">
      <w:pPr>
        <w:jc w:val="center"/>
        <w:rPr>
          <w:rFonts w:ascii="Helvetica" w:hAnsi="Helvetica"/>
        </w:rPr>
      </w:pPr>
    </w:p>
    <w:p w14:paraId="22AF8A89" w14:textId="77777777" w:rsidR="008E17C2" w:rsidRDefault="00A850F7">
      <w:pPr>
        <w:pStyle w:val="BodyText"/>
        <w:rPr>
          <w:rFonts w:ascii="Helvetica-Narrow" w:hAnsi="Helvetica-Narrow"/>
        </w:rPr>
      </w:pPr>
      <w:r>
        <w:rPr>
          <w:rFonts w:ascii="Helvetica-Narrow" w:hAnsi="Helvetica-Narrow"/>
        </w:rPr>
        <w:t>ISCST shall not be responsible for statements or opinions contained in papers or printed in its publications.</w:t>
      </w:r>
    </w:p>
    <w:p w14:paraId="43627DD7" w14:textId="77777777" w:rsidR="008E17C2" w:rsidRDefault="008E17C2">
      <w:pPr>
        <w:pStyle w:val="BodyText"/>
      </w:pPr>
    </w:p>
    <w:p w14:paraId="3482734E" w14:textId="448736E6" w:rsidR="008E17C2" w:rsidRDefault="00E250C2">
      <w:pPr>
        <w:pStyle w:val="BodyText2"/>
        <w:spacing w:line="480" w:lineRule="auto"/>
        <w:rPr>
          <w:b/>
        </w:rPr>
      </w:pPr>
      <w:r>
        <w:rPr>
          <w:b/>
          <w:u w:val="single"/>
        </w:rPr>
        <w:t>Introduction</w:t>
      </w:r>
    </w:p>
    <w:p w14:paraId="518DE3D3" w14:textId="77777777" w:rsidR="000B5EED" w:rsidRDefault="00152413" w:rsidP="00091669">
      <w:pPr>
        <w:jc w:val="both"/>
        <w:rPr>
          <w:color w:val="0E101A"/>
          <w:sz w:val="24"/>
          <w:szCs w:val="24"/>
        </w:rPr>
      </w:pPr>
      <w:r w:rsidRPr="00152413">
        <w:rPr>
          <w:color w:val="0E101A"/>
          <w:sz w:val="24"/>
          <w:szCs w:val="24"/>
        </w:rPr>
        <w:t xml:space="preserve"> </w:t>
      </w:r>
      <w:r w:rsidR="000B5EED" w:rsidRPr="000B5EED">
        <w:rPr>
          <w:color w:val="0E101A"/>
          <w:sz w:val="24"/>
          <w:szCs w:val="24"/>
        </w:rPr>
        <w:t>Widespread industrial and academic interest in nanocellulosic materials as a bio-based alternative for food packaging is driven due to renewability, the abundance of cellulose, and proven barrier properties against oxygen, mineral oils, and grease. From an operative perspective, an accurate understanding of the flow and rheological properties of nanocellulosic materials is essential to control and optimize high throughput manufacturing and efficient automation of coating processes</w:t>
      </w:r>
      <w:r w:rsidR="000B5EED">
        <w:rPr>
          <w:color w:val="0E101A"/>
          <w:sz w:val="24"/>
          <w:szCs w:val="24"/>
        </w:rPr>
        <w:t xml:space="preserve">. </w:t>
      </w:r>
    </w:p>
    <w:p w14:paraId="7839782B" w14:textId="3787CF30" w:rsidR="00F8718B" w:rsidRDefault="000B5EED" w:rsidP="00F8718B">
      <w:pPr>
        <w:jc w:val="both"/>
        <w:rPr>
          <w:color w:val="0E101A"/>
          <w:sz w:val="24"/>
          <w:szCs w:val="24"/>
        </w:rPr>
      </w:pPr>
      <w:r w:rsidRPr="000B5EED">
        <w:rPr>
          <w:color w:val="0E101A"/>
          <w:sz w:val="24"/>
          <w:szCs w:val="24"/>
        </w:rPr>
        <w:t xml:space="preserve">In coating applications, where the desired product is a thin film (either free-standing or on a substrate), </w:t>
      </w:r>
      <w:r w:rsidR="00063C19">
        <w:rPr>
          <w:color w:val="0E101A"/>
          <w:sz w:val="24"/>
          <w:szCs w:val="24"/>
        </w:rPr>
        <w:t xml:space="preserve">control of </w:t>
      </w:r>
      <w:r w:rsidRPr="000B5EED">
        <w:rPr>
          <w:color w:val="0E101A"/>
          <w:sz w:val="24"/>
          <w:szCs w:val="24"/>
        </w:rPr>
        <w:t xml:space="preserve">rheological properties are directly relevant to the final product </w:t>
      </w:r>
      <w:r>
        <w:rPr>
          <w:color w:val="0E101A"/>
          <w:sz w:val="24"/>
          <w:szCs w:val="24"/>
        </w:rPr>
        <w:t>properties. F</w:t>
      </w:r>
      <w:r w:rsidRPr="000B5EED">
        <w:rPr>
          <w:color w:val="0E101A"/>
          <w:sz w:val="24"/>
          <w:szCs w:val="24"/>
        </w:rPr>
        <w:t xml:space="preserve">or example in slot coating, the suspension </w:t>
      </w:r>
      <w:r w:rsidR="00063C19">
        <w:rPr>
          <w:color w:val="0E101A"/>
          <w:sz w:val="24"/>
          <w:szCs w:val="24"/>
        </w:rPr>
        <w:t>rheology</w:t>
      </w:r>
      <w:r w:rsidR="00063C19" w:rsidRPr="000B5EED">
        <w:rPr>
          <w:color w:val="0E101A"/>
          <w:sz w:val="24"/>
          <w:szCs w:val="24"/>
        </w:rPr>
        <w:t xml:space="preserve"> </w:t>
      </w:r>
      <w:r w:rsidR="00063C19">
        <w:rPr>
          <w:color w:val="0E101A"/>
          <w:sz w:val="24"/>
          <w:szCs w:val="24"/>
        </w:rPr>
        <w:t>is</w:t>
      </w:r>
      <w:r w:rsidRPr="000B5EED">
        <w:rPr>
          <w:color w:val="0E101A"/>
          <w:sz w:val="24"/>
          <w:szCs w:val="24"/>
        </w:rPr>
        <w:t xml:space="preserve"> critical for </w:t>
      </w:r>
      <w:r w:rsidR="00EF7DB3">
        <w:rPr>
          <w:color w:val="0E101A"/>
          <w:sz w:val="24"/>
          <w:szCs w:val="24"/>
        </w:rPr>
        <w:t>favo</w:t>
      </w:r>
      <w:r w:rsidR="00F77EFA">
        <w:rPr>
          <w:color w:val="0E101A"/>
          <w:sz w:val="24"/>
          <w:szCs w:val="24"/>
        </w:rPr>
        <w:t>u</w:t>
      </w:r>
      <w:r w:rsidR="00EF7DB3">
        <w:rPr>
          <w:color w:val="0E101A"/>
          <w:sz w:val="24"/>
          <w:szCs w:val="24"/>
        </w:rPr>
        <w:t>rable</w:t>
      </w:r>
      <w:r w:rsidR="00063C19">
        <w:rPr>
          <w:color w:val="0E101A"/>
          <w:sz w:val="24"/>
          <w:szCs w:val="24"/>
        </w:rPr>
        <w:t xml:space="preserve"> </w:t>
      </w:r>
      <w:r w:rsidRPr="000B5EED">
        <w:rPr>
          <w:color w:val="0E101A"/>
          <w:sz w:val="24"/>
          <w:szCs w:val="24"/>
        </w:rPr>
        <w:t xml:space="preserve">coating processing conditions and will dictate the drying energy requirements, whereas the </w:t>
      </w:r>
      <w:r>
        <w:rPr>
          <w:color w:val="0E101A"/>
          <w:sz w:val="24"/>
          <w:szCs w:val="24"/>
        </w:rPr>
        <w:t>resulting</w:t>
      </w:r>
      <w:r w:rsidRPr="000B5EED">
        <w:rPr>
          <w:color w:val="0E101A"/>
          <w:sz w:val="24"/>
          <w:szCs w:val="24"/>
        </w:rPr>
        <w:t xml:space="preserve"> spatial and orientation distribution of nanocellulosic particles will influence the final product </w:t>
      </w:r>
      <w:r>
        <w:rPr>
          <w:color w:val="0E101A"/>
          <w:sz w:val="24"/>
          <w:szCs w:val="24"/>
        </w:rPr>
        <w:t>characteristics</w:t>
      </w:r>
      <w:r w:rsidRPr="000B5EED">
        <w:rPr>
          <w:color w:val="0E101A"/>
          <w:sz w:val="24"/>
          <w:szCs w:val="24"/>
        </w:rPr>
        <w:t>.</w:t>
      </w:r>
      <w:r>
        <w:rPr>
          <w:color w:val="0E101A"/>
          <w:sz w:val="24"/>
          <w:szCs w:val="24"/>
        </w:rPr>
        <w:t xml:space="preserve"> T</w:t>
      </w:r>
      <w:r w:rsidRPr="000B5EED">
        <w:rPr>
          <w:color w:val="0E101A"/>
          <w:sz w:val="24"/>
          <w:szCs w:val="24"/>
        </w:rPr>
        <w:t xml:space="preserve">he distribution of nanocellulose fibrils in </w:t>
      </w:r>
      <w:r w:rsidR="00063C19">
        <w:rPr>
          <w:color w:val="0E101A"/>
          <w:sz w:val="24"/>
          <w:szCs w:val="24"/>
        </w:rPr>
        <w:t>an aqueous suspension</w:t>
      </w:r>
      <w:r w:rsidRPr="000B5EED">
        <w:rPr>
          <w:color w:val="0E101A"/>
          <w:sz w:val="24"/>
          <w:szCs w:val="24"/>
        </w:rPr>
        <w:t xml:space="preserve"> is extremely complex, and lead to distinct rheological characteristics.</w:t>
      </w:r>
      <w:r>
        <w:rPr>
          <w:color w:val="0E101A"/>
          <w:sz w:val="24"/>
          <w:szCs w:val="24"/>
        </w:rPr>
        <w:t xml:space="preserve"> </w:t>
      </w:r>
      <w:r w:rsidRPr="000B5EED">
        <w:rPr>
          <w:color w:val="0E101A"/>
          <w:sz w:val="24"/>
          <w:szCs w:val="24"/>
        </w:rPr>
        <w:t xml:space="preserve">A fundamental phenomenon that </w:t>
      </w:r>
      <w:r>
        <w:rPr>
          <w:color w:val="0E101A"/>
          <w:sz w:val="24"/>
          <w:szCs w:val="24"/>
        </w:rPr>
        <w:t>contributes</w:t>
      </w:r>
      <w:r w:rsidRPr="000B5EED">
        <w:rPr>
          <w:color w:val="0E101A"/>
          <w:sz w:val="24"/>
          <w:szCs w:val="24"/>
        </w:rPr>
        <w:t xml:space="preserve"> to the difficulty in obtaining an accurate flow model is the presence of a thin wall-bounded particle-depleted-layer of the order of a few microns where the shear is highly non-uniform. Some studies [</w:t>
      </w:r>
      <w:r w:rsidR="00AC4061">
        <w:rPr>
          <w:color w:val="0E101A"/>
          <w:sz w:val="24"/>
          <w:szCs w:val="24"/>
        </w:rPr>
        <w:t>1</w:t>
      </w:r>
      <w:r w:rsidRPr="000B5EED">
        <w:rPr>
          <w:color w:val="0E101A"/>
          <w:sz w:val="24"/>
          <w:szCs w:val="24"/>
        </w:rPr>
        <w:t xml:space="preserve">] suggest that this 'apparent slip' may arise due to particle migration as a resultant of the random Brownian motion and two competing forces: hydrodynamic interactions between the fibrils and the wall, </w:t>
      </w:r>
      <w:r w:rsidR="007307C0">
        <w:rPr>
          <w:color w:val="0E101A"/>
          <w:sz w:val="24"/>
          <w:szCs w:val="24"/>
        </w:rPr>
        <w:t xml:space="preserve">and fibril-fibril interactions, </w:t>
      </w:r>
      <w:r w:rsidRPr="000B5EED">
        <w:rPr>
          <w:color w:val="0E101A"/>
          <w:sz w:val="24"/>
          <w:szCs w:val="24"/>
        </w:rPr>
        <w:t xml:space="preserve">while </w:t>
      </w:r>
      <w:r w:rsidR="00063C19">
        <w:rPr>
          <w:color w:val="0E101A"/>
          <w:sz w:val="24"/>
          <w:szCs w:val="24"/>
        </w:rPr>
        <w:t>other</w:t>
      </w:r>
      <w:r w:rsidRPr="000B5EED">
        <w:rPr>
          <w:color w:val="0E101A"/>
          <w:sz w:val="24"/>
          <w:szCs w:val="24"/>
        </w:rPr>
        <w:t xml:space="preserve"> studies</w:t>
      </w:r>
      <w:r>
        <w:rPr>
          <w:color w:val="0E101A"/>
          <w:sz w:val="24"/>
          <w:szCs w:val="24"/>
        </w:rPr>
        <w:t xml:space="preserve"> argue that</w:t>
      </w:r>
      <w:r w:rsidRPr="000B5EED">
        <w:rPr>
          <w:color w:val="0E101A"/>
          <w:sz w:val="24"/>
          <w:szCs w:val="24"/>
        </w:rPr>
        <w:t xml:space="preserve"> fibrils migrate from</w:t>
      </w:r>
      <w:r>
        <w:rPr>
          <w:color w:val="0E101A"/>
          <w:sz w:val="24"/>
          <w:szCs w:val="24"/>
        </w:rPr>
        <w:t xml:space="preserve"> the</w:t>
      </w:r>
      <w:r w:rsidRPr="000B5EED">
        <w:rPr>
          <w:color w:val="0E101A"/>
          <w:sz w:val="24"/>
          <w:szCs w:val="24"/>
        </w:rPr>
        <w:t xml:space="preserve"> high shear-rate</w:t>
      </w:r>
      <w:r>
        <w:rPr>
          <w:color w:val="0E101A"/>
          <w:sz w:val="24"/>
          <w:szCs w:val="24"/>
        </w:rPr>
        <w:t>,</w:t>
      </w:r>
      <w:r w:rsidRPr="000B5EED">
        <w:rPr>
          <w:color w:val="0E101A"/>
          <w:sz w:val="24"/>
          <w:szCs w:val="24"/>
        </w:rPr>
        <w:t xml:space="preserve"> near-wall</w:t>
      </w:r>
      <w:r>
        <w:rPr>
          <w:color w:val="0E101A"/>
          <w:sz w:val="24"/>
          <w:szCs w:val="24"/>
        </w:rPr>
        <w:t xml:space="preserve"> regions</w:t>
      </w:r>
      <w:r w:rsidRPr="000B5EED">
        <w:rPr>
          <w:color w:val="0E101A"/>
          <w:sz w:val="24"/>
          <w:szCs w:val="24"/>
        </w:rPr>
        <w:t xml:space="preserve"> towards lower-shear bulk flow until the shear-rate gradients in are balanced </w:t>
      </w:r>
      <w:r w:rsidR="00CD378F">
        <w:rPr>
          <w:color w:val="0E101A"/>
          <w:sz w:val="24"/>
          <w:szCs w:val="24"/>
        </w:rPr>
        <w:t>by the concentration-gradients[</w:t>
      </w:r>
      <w:r w:rsidR="00AC4061">
        <w:rPr>
          <w:color w:val="0E101A"/>
          <w:sz w:val="24"/>
          <w:szCs w:val="24"/>
        </w:rPr>
        <w:t>2</w:t>
      </w:r>
      <w:r w:rsidR="00CD378F" w:rsidRPr="00CD378F">
        <w:rPr>
          <w:color w:val="0E101A"/>
          <w:sz w:val="24"/>
          <w:szCs w:val="24"/>
        </w:rPr>
        <w:t>]</w:t>
      </w:r>
      <w:r w:rsidR="00CD378F">
        <w:rPr>
          <w:color w:val="0E101A"/>
          <w:sz w:val="24"/>
          <w:szCs w:val="24"/>
        </w:rPr>
        <w:t xml:space="preserve">. </w:t>
      </w:r>
      <w:r w:rsidR="00CD378F" w:rsidRPr="00CD378F">
        <w:rPr>
          <w:color w:val="0E101A"/>
          <w:sz w:val="24"/>
          <w:szCs w:val="24"/>
        </w:rPr>
        <w:t>Although</w:t>
      </w:r>
      <w:r w:rsidR="00C72D7A">
        <w:rPr>
          <w:color w:val="0E101A"/>
          <w:sz w:val="24"/>
          <w:szCs w:val="24"/>
        </w:rPr>
        <w:t xml:space="preserve"> the effect of</w:t>
      </w:r>
      <w:r w:rsidR="00CD378F" w:rsidRPr="00CD378F">
        <w:rPr>
          <w:color w:val="0E101A"/>
          <w:sz w:val="24"/>
          <w:szCs w:val="24"/>
        </w:rPr>
        <w:t xml:space="preserve"> </w:t>
      </w:r>
      <w:r w:rsidR="00CD378F">
        <w:rPr>
          <w:color w:val="0E101A"/>
          <w:sz w:val="24"/>
          <w:szCs w:val="24"/>
        </w:rPr>
        <w:t>apparent</w:t>
      </w:r>
      <w:r w:rsidR="00CD378F" w:rsidRPr="00CD378F">
        <w:rPr>
          <w:color w:val="0E101A"/>
          <w:sz w:val="24"/>
          <w:szCs w:val="24"/>
        </w:rPr>
        <w:t xml:space="preserve"> wall-slip may not be directly relevant </w:t>
      </w:r>
      <w:r w:rsidR="00C72D7A">
        <w:rPr>
          <w:color w:val="0E101A"/>
          <w:sz w:val="24"/>
          <w:szCs w:val="24"/>
        </w:rPr>
        <w:t xml:space="preserve">and can be neglected </w:t>
      </w:r>
      <w:r w:rsidR="00CD378F" w:rsidRPr="00CD378F">
        <w:rPr>
          <w:color w:val="0E101A"/>
          <w:sz w:val="24"/>
          <w:szCs w:val="24"/>
        </w:rPr>
        <w:t xml:space="preserve">in lower concentrations, the contribution of nonlinear wall-slip becomes more critical as the </w:t>
      </w:r>
      <w:r w:rsidR="00CD378F">
        <w:rPr>
          <w:color w:val="0E101A"/>
          <w:sz w:val="24"/>
          <w:szCs w:val="24"/>
        </w:rPr>
        <w:t xml:space="preserve">solid-content is increased and </w:t>
      </w:r>
      <w:r w:rsidR="00CD378F" w:rsidRPr="00CD378F">
        <w:rPr>
          <w:color w:val="0E101A"/>
          <w:sz w:val="24"/>
          <w:szCs w:val="24"/>
        </w:rPr>
        <w:t xml:space="preserve">must be addressed along with other </w:t>
      </w:r>
      <w:r w:rsidR="005C216E">
        <w:rPr>
          <w:color w:val="0E101A"/>
          <w:sz w:val="24"/>
          <w:szCs w:val="24"/>
        </w:rPr>
        <w:t>essential</w:t>
      </w:r>
      <w:r w:rsidR="007307C0">
        <w:rPr>
          <w:color w:val="0E101A"/>
          <w:sz w:val="24"/>
          <w:szCs w:val="24"/>
        </w:rPr>
        <w:t xml:space="preserve"> </w:t>
      </w:r>
      <w:r w:rsidR="00CD378F" w:rsidRPr="00CD378F">
        <w:rPr>
          <w:color w:val="0E101A"/>
          <w:sz w:val="24"/>
          <w:szCs w:val="24"/>
        </w:rPr>
        <w:t>modelling challenges stemming from the presence of yi</w:t>
      </w:r>
      <w:r w:rsidR="00CD378F">
        <w:rPr>
          <w:color w:val="0E101A"/>
          <w:sz w:val="24"/>
          <w:szCs w:val="24"/>
        </w:rPr>
        <w:t>el</w:t>
      </w:r>
      <w:r w:rsidR="00CD378F" w:rsidRPr="00CD378F">
        <w:rPr>
          <w:color w:val="0E101A"/>
          <w:sz w:val="24"/>
          <w:szCs w:val="24"/>
        </w:rPr>
        <w:t xml:space="preserve">d stress and highly shear-thinning </w:t>
      </w:r>
      <w:r w:rsidR="00EF7DB3" w:rsidRPr="00CD378F">
        <w:rPr>
          <w:color w:val="0E101A"/>
          <w:sz w:val="24"/>
          <w:szCs w:val="24"/>
        </w:rPr>
        <w:t>behavio</w:t>
      </w:r>
      <w:r w:rsidR="00F77EFA">
        <w:rPr>
          <w:color w:val="0E101A"/>
          <w:sz w:val="24"/>
          <w:szCs w:val="24"/>
        </w:rPr>
        <w:t>u</w:t>
      </w:r>
      <w:r w:rsidR="00EF7DB3" w:rsidRPr="00CD378F">
        <w:rPr>
          <w:color w:val="0E101A"/>
          <w:sz w:val="24"/>
          <w:szCs w:val="24"/>
        </w:rPr>
        <w:t>r</w:t>
      </w:r>
      <w:r w:rsidR="00CD378F" w:rsidRPr="00CD378F">
        <w:rPr>
          <w:color w:val="0E101A"/>
          <w:sz w:val="24"/>
          <w:szCs w:val="24"/>
        </w:rPr>
        <w:t>.</w:t>
      </w:r>
      <w:r w:rsidR="00F42CE9">
        <w:rPr>
          <w:color w:val="0E101A"/>
          <w:sz w:val="24"/>
          <w:szCs w:val="24"/>
        </w:rPr>
        <w:t xml:space="preserve"> </w:t>
      </w:r>
      <w:r w:rsidR="00843BFE" w:rsidRPr="00843BFE">
        <w:rPr>
          <w:color w:val="0E101A"/>
          <w:sz w:val="24"/>
          <w:szCs w:val="24"/>
        </w:rPr>
        <w:t>Numerous approaches for modelling the effective-deficit in momentum- transfer resulting from the apparent slip layer have been suggested in the past; including molecular dynamics (MD)  methods and</w:t>
      </w:r>
      <w:r w:rsidR="00843BFE">
        <w:rPr>
          <w:color w:val="0E101A"/>
          <w:sz w:val="24"/>
          <w:szCs w:val="24"/>
        </w:rPr>
        <w:t xml:space="preserve"> Lattice Boltzmann method</w:t>
      </w:r>
      <w:r w:rsidR="00963D6B">
        <w:rPr>
          <w:color w:val="0E101A"/>
          <w:sz w:val="24"/>
          <w:szCs w:val="24"/>
        </w:rPr>
        <w:t>s</w:t>
      </w:r>
      <w:r w:rsidR="00843BFE">
        <w:rPr>
          <w:color w:val="0E101A"/>
          <w:sz w:val="24"/>
          <w:szCs w:val="24"/>
        </w:rPr>
        <w:t xml:space="preserve"> (LBM). However,</w:t>
      </w:r>
      <w:r w:rsidR="00843BFE" w:rsidRPr="00843BFE">
        <w:rPr>
          <w:color w:val="0E101A"/>
          <w:sz w:val="24"/>
          <w:szCs w:val="24"/>
        </w:rPr>
        <w:t xml:space="preserve"> the most effective mode is to employ the traditional flow solving techniques, which discretize and solve the macroscopic Navier–Stokes (NS) equations on a continuum mechanics framework. </w:t>
      </w:r>
      <w:r w:rsidR="00843BFE">
        <w:rPr>
          <w:color w:val="0E101A"/>
          <w:sz w:val="24"/>
          <w:szCs w:val="24"/>
        </w:rPr>
        <w:t>T</w:t>
      </w:r>
      <w:r w:rsidR="00843BFE" w:rsidRPr="00843BFE">
        <w:rPr>
          <w:color w:val="0E101A"/>
          <w:sz w:val="24"/>
          <w:szCs w:val="24"/>
        </w:rPr>
        <w:t>he particle depleted layer is modelled as an infinitely thin layer and is effectively applied by replacing the no-</w:t>
      </w:r>
      <w:r w:rsidR="00843BFE" w:rsidRPr="00843BFE">
        <w:rPr>
          <w:color w:val="0E101A"/>
          <w:sz w:val="24"/>
          <w:szCs w:val="24"/>
        </w:rPr>
        <w:lastRenderedPageBreak/>
        <w:t xml:space="preserve">slip boundary condition in the wall parallel directions by a wall-shear stress-dependent nonlinear Navier-slip condition. This approach is motivated by the </w:t>
      </w:r>
      <w:r w:rsidR="00F85778">
        <w:rPr>
          <w:color w:val="0E101A"/>
          <w:sz w:val="24"/>
          <w:szCs w:val="24"/>
        </w:rPr>
        <w:t>knowledge</w:t>
      </w:r>
      <w:r w:rsidR="00843BFE" w:rsidRPr="00843BFE">
        <w:rPr>
          <w:color w:val="0E101A"/>
          <w:sz w:val="24"/>
          <w:szCs w:val="24"/>
        </w:rPr>
        <w:t xml:space="preserve"> that, </w:t>
      </w:r>
      <w:r w:rsidR="00963D6B">
        <w:rPr>
          <w:color w:val="0E101A"/>
          <w:sz w:val="24"/>
          <w:szCs w:val="24"/>
        </w:rPr>
        <w:t xml:space="preserve">provided there is </w:t>
      </w:r>
      <w:r w:rsidR="00843BFE" w:rsidRPr="00843BFE">
        <w:rPr>
          <w:color w:val="0E101A"/>
          <w:sz w:val="24"/>
          <w:szCs w:val="24"/>
        </w:rPr>
        <w:t xml:space="preserve">an empirical model of the </w:t>
      </w:r>
      <w:r w:rsidR="00963D6B">
        <w:rPr>
          <w:color w:val="0E101A"/>
          <w:sz w:val="24"/>
          <w:szCs w:val="24"/>
        </w:rPr>
        <w:t>slip</w:t>
      </w:r>
      <w:r w:rsidR="00963D6B" w:rsidRPr="00963D6B">
        <w:rPr>
          <w:color w:val="0E101A"/>
          <w:sz w:val="24"/>
          <w:szCs w:val="24"/>
        </w:rPr>
        <w:t>-</w:t>
      </w:r>
      <w:r w:rsidR="00963D6B">
        <w:rPr>
          <w:color w:val="0E101A"/>
          <w:sz w:val="24"/>
          <w:szCs w:val="24"/>
        </w:rPr>
        <w:t>behaviour</w:t>
      </w:r>
      <w:r w:rsidR="00843BFE" w:rsidRPr="00843BFE">
        <w:rPr>
          <w:color w:val="0E101A"/>
          <w:sz w:val="24"/>
          <w:szCs w:val="24"/>
        </w:rPr>
        <w:t xml:space="preserve"> from stand</w:t>
      </w:r>
      <w:r w:rsidR="00963D6B">
        <w:rPr>
          <w:color w:val="0E101A"/>
          <w:sz w:val="24"/>
          <w:szCs w:val="24"/>
        </w:rPr>
        <w:t>ard experiments, the model</w:t>
      </w:r>
      <w:r w:rsidR="00843BFE" w:rsidRPr="00843BFE">
        <w:rPr>
          <w:color w:val="0E101A"/>
          <w:sz w:val="24"/>
          <w:szCs w:val="24"/>
        </w:rPr>
        <w:t xml:space="preserve"> can provide the </w:t>
      </w:r>
      <w:r w:rsidR="00963D6B">
        <w:rPr>
          <w:color w:val="0E101A"/>
          <w:sz w:val="24"/>
          <w:szCs w:val="24"/>
        </w:rPr>
        <w:t>accurate</w:t>
      </w:r>
      <w:r w:rsidR="00843BFE" w:rsidRPr="00843BFE">
        <w:rPr>
          <w:color w:val="0E101A"/>
          <w:sz w:val="24"/>
          <w:szCs w:val="24"/>
        </w:rPr>
        <w:t xml:space="preserve"> stress and velocities at the wall without calculating the macroscopic particle interactions, which can be prohibitively expensive in an industrial scenario.</w:t>
      </w:r>
      <w:r w:rsidR="00F77EFA">
        <w:rPr>
          <w:color w:val="0E101A"/>
          <w:sz w:val="24"/>
          <w:szCs w:val="24"/>
        </w:rPr>
        <w:t xml:space="preserve"> </w:t>
      </w:r>
      <w:r w:rsidR="00F85778" w:rsidRPr="00F85778">
        <w:rPr>
          <w:color w:val="0E101A"/>
          <w:sz w:val="24"/>
          <w:szCs w:val="24"/>
        </w:rPr>
        <w:t>The current work aims to provide a preliminary study of the mechanisms on how slip can influence the flow of nanocellulosic materials in realistic industrially applicable conditions. Precisely, herein, simulation results of slot-die flow for 3% Micro-Fibrillated-Cellulose (MFC) are presented in the knowledge of previously reported experimental data.</w:t>
      </w:r>
    </w:p>
    <w:p w14:paraId="64601F54" w14:textId="77777777" w:rsidR="00F85778" w:rsidRPr="00152413" w:rsidRDefault="00F85778" w:rsidP="00F8718B">
      <w:pPr>
        <w:jc w:val="both"/>
        <w:rPr>
          <w:color w:val="0E101A"/>
          <w:sz w:val="24"/>
          <w:szCs w:val="24"/>
        </w:rPr>
      </w:pPr>
    </w:p>
    <w:p w14:paraId="3AF22F54" w14:textId="7411E0CE" w:rsidR="00E250C2" w:rsidRDefault="00E250C2" w:rsidP="00E250C2">
      <w:pPr>
        <w:pStyle w:val="BodyText2"/>
        <w:spacing w:line="480" w:lineRule="auto"/>
        <w:rPr>
          <w:b/>
          <w:u w:val="single"/>
        </w:rPr>
      </w:pPr>
      <w:r>
        <w:rPr>
          <w:b/>
          <w:u w:val="single"/>
        </w:rPr>
        <w:t xml:space="preserve">Numerical Methodology </w:t>
      </w:r>
    </w:p>
    <w:p w14:paraId="021F4F78" w14:textId="1767392C" w:rsidR="00DD3306" w:rsidRDefault="00EA2A3E" w:rsidP="003837D7">
      <w:pPr>
        <w:jc w:val="both"/>
        <w:rPr>
          <w:color w:val="0E101A"/>
          <w:sz w:val="24"/>
          <w:szCs w:val="24"/>
        </w:rPr>
      </w:pPr>
      <w:r w:rsidRPr="00EA2A3E">
        <w:rPr>
          <w:color w:val="0E101A"/>
          <w:sz w:val="24"/>
          <w:szCs w:val="24"/>
        </w:rPr>
        <w:t>A 2D computational domain and parameter space are carefully chosen based on previous experimental work by</w:t>
      </w:r>
      <w:r>
        <w:rPr>
          <w:color w:val="0E101A"/>
          <w:sz w:val="24"/>
          <w:szCs w:val="24"/>
        </w:rPr>
        <w:t xml:space="preserve"> [</w:t>
      </w:r>
      <w:r w:rsidR="00AC4061">
        <w:rPr>
          <w:color w:val="0E101A"/>
          <w:sz w:val="24"/>
          <w:szCs w:val="24"/>
        </w:rPr>
        <w:t>3</w:t>
      </w:r>
      <w:r w:rsidRPr="00EA2A3E">
        <w:rPr>
          <w:color w:val="0E101A"/>
          <w:sz w:val="24"/>
          <w:szCs w:val="24"/>
        </w:rPr>
        <w:t>] as represented in Figure 1. The slot-die coating head placed at 3 o</w:t>
      </w:r>
      <w:r w:rsidR="00F77EFA">
        <w:rPr>
          <w:color w:val="0E101A"/>
          <w:sz w:val="24"/>
          <w:szCs w:val="24"/>
        </w:rPr>
        <w:t>'</w:t>
      </w:r>
      <w:r w:rsidRPr="00EA2A3E">
        <w:rPr>
          <w:color w:val="0E101A"/>
          <w:sz w:val="24"/>
          <w:szCs w:val="24"/>
        </w:rPr>
        <w:t>clock position with the backing roll and slightly offset downwards from the centre of the backing roll. Such as arrangement facilitates to control the coat weight with the minimum gap (SWG) as the geometry between the coating head lips and the backing roll is convergent. In this mode</w:t>
      </w:r>
      <w:r>
        <w:rPr>
          <w:color w:val="0E101A"/>
          <w:sz w:val="24"/>
          <w:szCs w:val="24"/>
        </w:rPr>
        <w:t xml:space="preserve">, some material is metered off, </w:t>
      </w:r>
      <w:r w:rsidRPr="00EA2A3E">
        <w:rPr>
          <w:color w:val="0E101A"/>
          <w:sz w:val="24"/>
          <w:szCs w:val="24"/>
        </w:rPr>
        <w:t>gathered later and channelled to the inlet feed for reuse.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D3306" w:rsidRPr="003A70CD" w14:paraId="31B852FE" w14:textId="77777777" w:rsidTr="00300F62">
        <w:tc>
          <w:tcPr>
            <w:tcW w:w="9062" w:type="dxa"/>
          </w:tcPr>
          <w:p w14:paraId="7FD88D79" w14:textId="77777777" w:rsidR="00DD3306" w:rsidRPr="003A70CD" w:rsidRDefault="00DD3306" w:rsidP="00300F62">
            <w:pPr>
              <w:jc w:val="both"/>
              <w:textAlignment w:val="center"/>
              <w:rPr>
                <w:rFonts w:ascii="Calibri" w:eastAsia="Times New Roman" w:hAnsi="Calibri" w:cs="Calibri"/>
                <w:lang w:val="en-US" w:eastAsia="sv-FI"/>
              </w:rPr>
            </w:pPr>
            <w:r w:rsidRPr="003A70CD">
              <w:rPr>
                <w:rFonts w:ascii="Calibri" w:hAnsi="Calibri" w:cs="Calibri"/>
                <w:noProof/>
              </w:rPr>
              <w:drawing>
                <wp:inline distT="0" distB="0" distL="0" distR="0" wp14:anchorId="59D8B914" wp14:editId="6A41275A">
                  <wp:extent cx="1921860" cy="2286000"/>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0"/>
                          <a:srcRect l="55556"/>
                          <a:stretch/>
                        </pic:blipFill>
                        <pic:spPr bwMode="auto">
                          <a:xfrm>
                            <a:off x="0" y="0"/>
                            <a:ext cx="1921860" cy="2286000"/>
                          </a:xfrm>
                          <a:prstGeom prst="rect">
                            <a:avLst/>
                          </a:prstGeom>
                          <a:ln>
                            <a:noFill/>
                          </a:ln>
                          <a:extLst>
                            <a:ext uri="{53640926-AAD7-44D8-BBD7-CCE9431645EC}">
                              <a14:shadowObscured xmlns:a14="http://schemas.microsoft.com/office/drawing/2010/main"/>
                            </a:ext>
                          </a:extLst>
                        </pic:spPr>
                      </pic:pic>
                    </a:graphicData>
                  </a:graphic>
                </wp:inline>
              </w:drawing>
            </w:r>
            <w:r w:rsidRPr="003A70CD">
              <w:rPr>
                <w:rFonts w:ascii="Calibri" w:hAnsi="Calibri" w:cs="Calibri"/>
                <w:noProof/>
              </w:rPr>
              <w:drawing>
                <wp:inline distT="0" distB="0" distL="0" distR="0" wp14:anchorId="608FA7E5" wp14:editId="0228F43B">
                  <wp:extent cx="3657601" cy="27432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1" cy="2743200"/>
                          </a:xfrm>
                          <a:prstGeom prst="rect">
                            <a:avLst/>
                          </a:prstGeom>
                          <a:ln>
                            <a:noFill/>
                          </a:ln>
                          <a:extLst>
                            <a:ext uri="{53640926-AAD7-44D8-BBD7-CCE9431645EC}">
                              <a14:shadowObscured xmlns:a14="http://schemas.microsoft.com/office/drawing/2010/main"/>
                            </a:ext>
                          </a:extLst>
                        </pic:spPr>
                      </pic:pic>
                    </a:graphicData>
                  </a:graphic>
                </wp:inline>
              </w:drawing>
            </w:r>
          </w:p>
        </w:tc>
      </w:tr>
      <w:tr w:rsidR="00DD3306" w:rsidRPr="003A70CD" w14:paraId="57830EB9" w14:textId="77777777" w:rsidTr="00300F62">
        <w:trPr>
          <w:trHeight w:val="80"/>
        </w:trPr>
        <w:tc>
          <w:tcPr>
            <w:tcW w:w="9062" w:type="dxa"/>
          </w:tcPr>
          <w:p w14:paraId="0754B3D1" w14:textId="6E5BB6EE" w:rsidR="00DD3306" w:rsidRPr="003A70CD" w:rsidRDefault="00DD3306" w:rsidP="00F77EFA">
            <w:pPr>
              <w:jc w:val="center"/>
              <w:textAlignment w:val="center"/>
              <w:rPr>
                <w:rFonts w:ascii="Calibri" w:eastAsia="Times New Roman" w:hAnsi="Calibri" w:cs="Calibri"/>
                <w:lang w:val="en-US" w:eastAsia="sv-FI"/>
              </w:rPr>
            </w:pPr>
            <w:r w:rsidRPr="00426FE7">
              <w:rPr>
                <w:rFonts w:ascii="Calibri" w:eastAsia="Times New Roman" w:hAnsi="Calibri" w:cs="Calibri"/>
                <w:b/>
                <w:lang w:val="en-US" w:eastAsia="sv-FI"/>
              </w:rPr>
              <w:t>Figur</w:t>
            </w:r>
            <w:r>
              <w:rPr>
                <w:rFonts w:ascii="Calibri" w:eastAsia="Times New Roman" w:hAnsi="Calibri" w:cs="Calibri"/>
                <w:b/>
                <w:lang w:val="en-US" w:eastAsia="sv-FI"/>
              </w:rPr>
              <w:t>e 1.</w:t>
            </w:r>
            <w:r w:rsidRPr="003A70CD">
              <w:rPr>
                <w:rFonts w:ascii="Calibri" w:eastAsia="Times New Roman" w:hAnsi="Calibri" w:cs="Calibri"/>
                <w:lang w:val="en-US" w:eastAsia="sv-FI"/>
              </w:rPr>
              <w:t xml:space="preserve"> </w:t>
            </w:r>
            <w:r>
              <w:rPr>
                <w:rFonts w:ascii="Calibri" w:eastAsia="Times New Roman" w:hAnsi="Calibri" w:cs="Calibri"/>
                <w:lang w:val="en-US" w:eastAsia="sv-FI"/>
              </w:rPr>
              <w:t>Left:</w:t>
            </w:r>
            <w:r w:rsidR="00F77EFA">
              <w:rPr>
                <w:rFonts w:ascii="Calibri" w:eastAsia="Times New Roman" w:hAnsi="Calibri" w:cs="Calibri"/>
                <w:lang w:val="en-US" w:eastAsia="sv-FI"/>
              </w:rPr>
              <w:t xml:space="preserve"> </w:t>
            </w:r>
            <w:r w:rsidRPr="003A70CD">
              <w:rPr>
                <w:rFonts w:ascii="Calibri" w:eastAsia="Times New Roman" w:hAnsi="Calibri" w:cs="Calibri"/>
                <w:lang w:val="en-US" w:eastAsia="sv-FI"/>
              </w:rPr>
              <w:t>Simulation</w:t>
            </w:r>
            <w:r>
              <w:rPr>
                <w:rFonts w:ascii="Calibri" w:eastAsia="Times New Roman" w:hAnsi="Calibri" w:cs="Calibri"/>
                <w:lang w:val="en-US" w:eastAsia="sv-FI"/>
              </w:rPr>
              <w:t xml:space="preserve"> geometry,</w:t>
            </w:r>
            <w:r w:rsidR="00F77EFA">
              <w:rPr>
                <w:rFonts w:ascii="Calibri" w:eastAsia="Times New Roman" w:hAnsi="Calibri" w:cs="Calibri"/>
                <w:lang w:val="en-US" w:eastAsia="sv-FI"/>
              </w:rPr>
              <w:t xml:space="preserve"> </w:t>
            </w:r>
            <w:r w:rsidRPr="003A70CD">
              <w:rPr>
                <w:rFonts w:ascii="Calibri" w:eastAsia="Times New Roman" w:hAnsi="Calibri" w:cs="Calibri"/>
                <w:lang w:val="en-US" w:eastAsia="sv-FI"/>
              </w:rPr>
              <w:t>boundary conditions.</w:t>
            </w:r>
            <w:r>
              <w:rPr>
                <w:rFonts w:ascii="Calibri" w:eastAsia="Times New Roman" w:hAnsi="Calibri" w:cs="Calibri"/>
                <w:lang w:val="en-US" w:eastAsia="sv-FI"/>
              </w:rPr>
              <w:t>, Right: The Casson rheology model employed with the existing experimental data.</w:t>
            </w:r>
          </w:p>
        </w:tc>
      </w:tr>
    </w:tbl>
    <w:p w14:paraId="00DD5477" w14:textId="398DACC6" w:rsidR="003837D7" w:rsidRDefault="00EA2A3E" w:rsidP="003837D7">
      <w:pPr>
        <w:jc w:val="both"/>
        <w:rPr>
          <w:color w:val="0E101A"/>
          <w:sz w:val="24"/>
          <w:szCs w:val="24"/>
        </w:rPr>
      </w:pPr>
      <w:r w:rsidRPr="00EA2A3E">
        <w:rPr>
          <w:color w:val="0E101A"/>
          <w:sz w:val="24"/>
          <w:szCs w:val="24"/>
        </w:rPr>
        <w:t xml:space="preserve"> </w:t>
      </w:r>
      <w:r w:rsidR="00020EAF">
        <w:rPr>
          <w:color w:val="0E101A"/>
          <w:sz w:val="24"/>
          <w:szCs w:val="24"/>
        </w:rPr>
        <w:t>Furthermore,</w:t>
      </w:r>
      <w:r w:rsidR="00F77EFA">
        <w:rPr>
          <w:color w:val="0E101A"/>
          <w:sz w:val="24"/>
          <w:szCs w:val="24"/>
        </w:rPr>
        <w:t xml:space="preserve"> </w:t>
      </w:r>
      <w:r w:rsidR="00020EAF">
        <w:rPr>
          <w:color w:val="0E101A"/>
          <w:sz w:val="24"/>
          <w:szCs w:val="24"/>
        </w:rPr>
        <w:t>this</w:t>
      </w:r>
      <w:r w:rsidRPr="00EA2A3E">
        <w:rPr>
          <w:color w:val="0E101A"/>
          <w:sz w:val="24"/>
          <w:szCs w:val="24"/>
        </w:rPr>
        <w:t xml:space="preserve"> arrangement in the slot-die coating is beneficial compared to the pre-metered method as it allows to control the coat-weight independently of the feed flow-rate. </w:t>
      </w:r>
      <w:r w:rsidR="00F77EFA">
        <w:rPr>
          <w:color w:val="0E101A"/>
          <w:sz w:val="24"/>
          <w:szCs w:val="24"/>
        </w:rPr>
        <w:t>Additionally</w:t>
      </w:r>
      <w:r w:rsidRPr="00EA2A3E">
        <w:rPr>
          <w:color w:val="0E101A"/>
          <w:sz w:val="24"/>
          <w:szCs w:val="24"/>
        </w:rPr>
        <w:t>, high flow-rates aids in overcoming the high yield-stresses fac</w:t>
      </w:r>
      <w:r>
        <w:rPr>
          <w:color w:val="0E101A"/>
          <w:sz w:val="24"/>
          <w:szCs w:val="24"/>
        </w:rPr>
        <w:t xml:space="preserve">ed in </w:t>
      </w:r>
      <w:r w:rsidR="00F77EFA" w:rsidRPr="000B5EED">
        <w:rPr>
          <w:color w:val="0E101A"/>
          <w:sz w:val="24"/>
          <w:szCs w:val="24"/>
        </w:rPr>
        <w:t xml:space="preserve">nanocellulosic </w:t>
      </w:r>
      <w:r>
        <w:rPr>
          <w:color w:val="0E101A"/>
          <w:sz w:val="24"/>
          <w:szCs w:val="24"/>
        </w:rPr>
        <w:t>materials</w:t>
      </w:r>
      <w:r w:rsidR="003837D7" w:rsidRPr="003837D7">
        <w:rPr>
          <w:color w:val="0E101A"/>
          <w:sz w:val="24"/>
          <w:szCs w:val="24"/>
        </w:rPr>
        <w:t xml:space="preserve">. </w:t>
      </w:r>
      <w:r w:rsidRPr="00EA2A3E">
        <w:rPr>
          <w:color w:val="0E101A"/>
          <w:sz w:val="24"/>
          <w:szCs w:val="24"/>
        </w:rPr>
        <w:t>For simplicity, the substrate is considered to be a non-absorbing, no-slip smooth surface on the backing roll surface</w:t>
      </w:r>
      <w:r w:rsidR="003837D7" w:rsidRPr="003837D7">
        <w:rPr>
          <w:color w:val="0E101A"/>
          <w:sz w:val="24"/>
          <w:szCs w:val="24"/>
        </w:rPr>
        <w:t>. A two-dimensional, laminar, steady-state flow field is assumed throughout the study. The governing partial differential equations (PDEs) for an incompressible, isothermal fluid can be expressed as the conservations of mass and momentum:</w:t>
      </w:r>
    </w:p>
    <w:p w14:paraId="463DF791" w14:textId="77777777" w:rsidR="00EA2A3E" w:rsidRPr="003837D7" w:rsidRDefault="00EA2A3E" w:rsidP="003837D7">
      <w:pPr>
        <w:jc w:val="both"/>
        <w:rPr>
          <w:color w:val="0E101A"/>
          <w:sz w:val="24"/>
          <w:szCs w:val="24"/>
        </w:rPr>
      </w:pPr>
    </w:p>
    <w:p w14:paraId="5A5C57E1" w14:textId="6F506005" w:rsidR="00F21AAE" w:rsidRDefault="00F21AAE" w:rsidP="003837D7">
      <w:pPr>
        <w:jc w:val="both"/>
        <w:rPr>
          <w:color w:val="0E101A"/>
          <w:sz w:val="24"/>
          <w:szCs w:val="24"/>
        </w:rPr>
      </w:pPr>
      <m:oMathPara>
        <m:oMath>
          <m:r>
            <w:rPr>
              <w:rFonts w:ascii="Cambria Math" w:hAnsi="Cambria Math" w:cs="Cambria Math"/>
              <w:color w:val="0E101A"/>
              <w:sz w:val="24"/>
              <w:szCs w:val="24"/>
            </w:rPr>
            <m:t>∇</m:t>
          </m:r>
          <m:r>
            <w:rPr>
              <w:rFonts w:ascii="Cambria Math" w:hAnsi="Cambria Math"/>
              <w:color w:val="0E101A"/>
              <w:sz w:val="24"/>
              <w:szCs w:val="24"/>
            </w:rPr>
            <m:t>.U=0 ;</m:t>
          </m:r>
          <m:r>
            <m:rPr>
              <m:sty m:val="p"/>
            </m:rPr>
            <w:rPr>
              <w:color w:val="0E101A"/>
              <w:sz w:val="24"/>
              <w:szCs w:val="24"/>
            </w:rPr>
            <w:br/>
          </m:r>
        </m:oMath>
      </m:oMathPara>
      <w:r w:rsidR="003837D7" w:rsidRPr="003837D7">
        <w:rPr>
          <w:color w:val="0E101A"/>
          <w:sz w:val="24"/>
          <w:szCs w:val="24"/>
        </w:rPr>
        <w:tab/>
      </w:r>
    </w:p>
    <w:p w14:paraId="45FE0F1B" w14:textId="3F9C5FD5" w:rsidR="003837D7" w:rsidRPr="00F21AAE" w:rsidRDefault="00F21AAE" w:rsidP="003837D7">
      <w:pPr>
        <w:jc w:val="both"/>
        <w:rPr>
          <w:color w:val="0E101A"/>
          <w:sz w:val="24"/>
          <w:szCs w:val="24"/>
        </w:rPr>
      </w:pPr>
      <m:oMathPara>
        <m:oMath>
          <m:r>
            <w:rPr>
              <w:rFonts w:ascii="Cambria Math" w:hAnsi="Cambria Math"/>
              <w:color w:val="0E101A"/>
              <w:sz w:val="24"/>
              <w:szCs w:val="24"/>
            </w:rPr>
            <m:t xml:space="preserve"> ρ ∂U/∂t+ρ</m:t>
          </m:r>
          <m:r>
            <w:rPr>
              <w:rFonts w:ascii="Cambria Math" w:hAnsi="Cambria Math" w:cs="Cambria Math"/>
              <w:color w:val="0E101A"/>
              <w:sz w:val="24"/>
              <w:szCs w:val="24"/>
            </w:rPr>
            <m:t>∇</m:t>
          </m:r>
          <m:r>
            <w:rPr>
              <w:rFonts w:ascii="Cambria Math" w:hAnsi="Cambria Math"/>
              <w:color w:val="0E101A"/>
              <w:sz w:val="24"/>
              <w:szCs w:val="24"/>
            </w:rPr>
            <m:t>.(UU)=-</m:t>
          </m:r>
          <m:r>
            <w:rPr>
              <w:rFonts w:ascii="Cambria Math" w:hAnsi="Cambria Math" w:cs="Cambria Math"/>
              <w:color w:val="0E101A"/>
              <w:sz w:val="24"/>
              <w:szCs w:val="24"/>
            </w:rPr>
            <m:t>∇</m:t>
          </m:r>
          <m:r>
            <w:rPr>
              <w:rFonts w:ascii="Cambria Math" w:hAnsi="Cambria Math"/>
              <w:color w:val="0E101A"/>
              <w:sz w:val="24"/>
              <w:szCs w:val="24"/>
            </w:rPr>
            <m:t>p+ρg+ρ</m:t>
          </m:r>
          <m:r>
            <w:rPr>
              <w:rFonts w:ascii="Cambria Math" w:hAnsi="Cambria Math" w:cs="Cambria Math"/>
              <w:color w:val="0E101A"/>
              <w:sz w:val="24"/>
              <w:szCs w:val="24"/>
            </w:rPr>
            <m:t>∇</m:t>
          </m:r>
          <m:r>
            <w:rPr>
              <w:rFonts w:ascii="Cambria Math" w:hAnsi="Cambria Math"/>
              <w:color w:val="0E101A"/>
              <w:sz w:val="24"/>
              <w:szCs w:val="24"/>
            </w:rPr>
            <m:t>.(ν</m:t>
          </m:r>
          <m:r>
            <w:rPr>
              <w:rFonts w:ascii="Cambria Math" w:hAnsi="Cambria Math" w:cs="Cambria Math"/>
              <w:color w:val="0E101A"/>
              <w:sz w:val="24"/>
              <w:szCs w:val="24"/>
            </w:rPr>
            <m:t>∇</m:t>
          </m:r>
          <m:r>
            <w:rPr>
              <w:rFonts w:ascii="Cambria Math" w:hAnsi="Cambria Math"/>
              <w:color w:val="0E101A"/>
              <w:sz w:val="24"/>
              <w:szCs w:val="24"/>
            </w:rPr>
            <m:t>U) .</m:t>
          </m:r>
        </m:oMath>
      </m:oMathPara>
    </w:p>
    <w:p w14:paraId="6D15496A" w14:textId="77777777" w:rsidR="00F21AAE" w:rsidRPr="003837D7" w:rsidRDefault="00F21AAE" w:rsidP="003837D7">
      <w:pPr>
        <w:jc w:val="both"/>
        <w:rPr>
          <w:color w:val="0E101A"/>
          <w:sz w:val="24"/>
          <w:szCs w:val="24"/>
        </w:rPr>
      </w:pPr>
    </w:p>
    <w:p w14:paraId="1403A98D" w14:textId="0B0F869E" w:rsidR="00D576E9" w:rsidRDefault="003837D7" w:rsidP="00D576E9">
      <w:pPr>
        <w:jc w:val="both"/>
        <w:rPr>
          <w:color w:val="0E101A"/>
          <w:sz w:val="24"/>
          <w:szCs w:val="24"/>
        </w:rPr>
      </w:pPr>
      <w:r w:rsidRPr="003837D7">
        <w:rPr>
          <w:color w:val="0E101A"/>
          <w:sz w:val="24"/>
          <w:szCs w:val="24"/>
        </w:rPr>
        <w:t>Here, ρ is the density, U is the velocity field, t is the time, p is the pressure, g is the gravitational acceleration, and ν is the kinematic viscosity. The finite volume method based OpenFOAM framework is employed to discretize the system of PDEs resulting from the governing equations. The volume-of-fluid method [</w:t>
      </w:r>
      <w:r w:rsidR="00AC4061">
        <w:rPr>
          <w:color w:val="0E101A"/>
          <w:sz w:val="24"/>
          <w:szCs w:val="24"/>
        </w:rPr>
        <w:t>4</w:t>
      </w:r>
      <w:r w:rsidRPr="003837D7">
        <w:rPr>
          <w:color w:val="0E101A"/>
          <w:sz w:val="24"/>
          <w:szCs w:val="24"/>
        </w:rPr>
        <w:t>] based interFoam solver is utilized to capture the development of the free-surface of the immiscible two-phase flow between the coating-fluid and air.</w:t>
      </w:r>
      <w:r w:rsidR="00205EF1">
        <w:rPr>
          <w:color w:val="0E101A"/>
          <w:sz w:val="24"/>
          <w:szCs w:val="24"/>
        </w:rPr>
        <w:t xml:space="preserve"> </w:t>
      </w:r>
      <w:r w:rsidR="00EA2A3E" w:rsidRPr="00B704BD">
        <w:rPr>
          <w:color w:val="0E101A"/>
          <w:sz w:val="24"/>
          <w:szCs w:val="24"/>
        </w:rPr>
        <w:t xml:space="preserve">The rheology of nanocellulose is numerically described using </w:t>
      </w:r>
      <w:r w:rsidR="009F5816">
        <w:rPr>
          <w:color w:val="0E101A"/>
          <w:sz w:val="24"/>
          <w:szCs w:val="24"/>
        </w:rPr>
        <w:t>a Casson model</w:t>
      </w:r>
      <w:r w:rsidR="00EA2A3E" w:rsidRPr="00B704BD">
        <w:rPr>
          <w:color w:val="0E101A"/>
          <w:sz w:val="24"/>
          <w:szCs w:val="24"/>
        </w:rPr>
        <w:t>, (</w:t>
      </w:r>
      <m:oMath>
        <m:rad>
          <m:radPr>
            <m:degHide m:val="1"/>
            <m:ctrlPr>
              <w:rPr>
                <w:rFonts w:ascii="Cambria Math" w:hAnsi="Cambria Math"/>
                <w:i/>
                <w:iCs/>
                <w:color w:val="0E101A"/>
                <w:sz w:val="24"/>
                <w:szCs w:val="24"/>
              </w:rPr>
            </m:ctrlPr>
          </m:radPr>
          <m:deg/>
          <m:e>
            <m:r>
              <w:rPr>
                <w:rFonts w:ascii="Cambria Math" w:hAnsi="Cambria Math"/>
                <w:color w:val="0E101A"/>
                <w:sz w:val="24"/>
                <w:szCs w:val="24"/>
              </w:rPr>
              <m:t>τ</m:t>
            </m:r>
          </m:e>
        </m:rad>
        <m:r>
          <w:rPr>
            <w:rFonts w:ascii="Cambria Math" w:hAnsi="Cambria Math"/>
            <w:color w:val="0E101A"/>
            <w:sz w:val="24"/>
            <w:szCs w:val="24"/>
          </w:rPr>
          <m:t>=</m:t>
        </m:r>
        <m:rad>
          <m:radPr>
            <m:degHide m:val="1"/>
            <m:ctrlPr>
              <w:rPr>
                <w:rFonts w:ascii="Cambria Math" w:hAnsi="Cambria Math"/>
                <w:i/>
                <w:iCs/>
                <w:color w:val="0E101A"/>
                <w:sz w:val="24"/>
                <w:szCs w:val="24"/>
              </w:rPr>
            </m:ctrlPr>
          </m:radPr>
          <m:deg/>
          <m:e>
            <m:sSub>
              <m:sSubPr>
                <m:ctrlPr>
                  <w:rPr>
                    <w:rFonts w:ascii="Cambria Math" w:hAnsi="Cambria Math"/>
                    <w:i/>
                    <w:iCs/>
                    <w:color w:val="0E101A"/>
                    <w:sz w:val="24"/>
                    <w:szCs w:val="24"/>
                  </w:rPr>
                </m:ctrlPr>
              </m:sSubPr>
              <m:e>
                <m:r>
                  <w:rPr>
                    <w:rFonts w:ascii="Cambria Math" w:hAnsi="Cambria Math"/>
                    <w:color w:val="0E101A"/>
                    <w:sz w:val="24"/>
                    <w:szCs w:val="24"/>
                  </w:rPr>
                  <m:t>τ</m:t>
                </m:r>
              </m:e>
              <m:sub>
                <m:r>
                  <w:rPr>
                    <w:rFonts w:ascii="Cambria Math" w:hAnsi="Cambria Math"/>
                    <w:color w:val="0E101A"/>
                    <w:sz w:val="24"/>
                    <w:szCs w:val="24"/>
                  </w:rPr>
                  <m:t>0</m:t>
                </m:r>
              </m:sub>
            </m:sSub>
          </m:e>
        </m:rad>
        <m:r>
          <w:rPr>
            <w:rFonts w:ascii="Cambria Math" w:hAnsi="Cambria Math"/>
            <w:color w:val="0E101A"/>
            <w:sz w:val="24"/>
            <w:szCs w:val="24"/>
          </w:rPr>
          <m:t>+</m:t>
        </m:r>
        <m:rad>
          <m:radPr>
            <m:degHide m:val="1"/>
            <m:ctrlPr>
              <w:rPr>
                <w:rFonts w:ascii="Cambria Math" w:hAnsi="Cambria Math"/>
                <w:i/>
                <w:iCs/>
                <w:color w:val="0E101A"/>
                <w:sz w:val="24"/>
                <w:szCs w:val="24"/>
              </w:rPr>
            </m:ctrlPr>
          </m:radPr>
          <m:deg/>
          <m:e>
            <m:sSub>
              <m:sSubPr>
                <m:ctrlPr>
                  <w:rPr>
                    <w:rFonts w:ascii="Cambria Math" w:hAnsi="Cambria Math"/>
                    <w:i/>
                    <w:iCs/>
                    <w:color w:val="0E101A"/>
                    <w:sz w:val="24"/>
                    <w:szCs w:val="24"/>
                  </w:rPr>
                </m:ctrlPr>
              </m:sSubPr>
              <m:e>
                <m:r>
                  <w:rPr>
                    <w:rFonts w:ascii="Cambria Math" w:hAnsi="Cambria Math"/>
                    <w:color w:val="0E101A"/>
                    <w:sz w:val="24"/>
                    <w:szCs w:val="24"/>
                  </w:rPr>
                  <m:t>η</m:t>
                </m:r>
              </m:e>
              <m:sub>
                <m:r>
                  <w:rPr>
                    <w:rFonts w:ascii="Cambria Math" w:hAnsi="Cambria Math"/>
                    <w:color w:val="0E101A"/>
                    <w:sz w:val="24"/>
                    <w:szCs w:val="24"/>
                  </w:rPr>
                  <m:t>p</m:t>
                </m:r>
              </m:sub>
            </m:sSub>
            <m:acc>
              <m:accPr>
                <m:chr m:val="̇"/>
                <m:ctrlPr>
                  <w:rPr>
                    <w:rFonts w:ascii="Cambria Math" w:hAnsi="Cambria Math"/>
                    <w:i/>
                    <w:iCs/>
                    <w:color w:val="0E101A"/>
                    <w:sz w:val="24"/>
                    <w:szCs w:val="24"/>
                  </w:rPr>
                </m:ctrlPr>
              </m:accPr>
              <m:e>
                <m:r>
                  <w:rPr>
                    <w:rFonts w:ascii="Cambria Math" w:hAnsi="Cambria Math"/>
                    <w:color w:val="0E101A"/>
                    <w:sz w:val="24"/>
                    <w:szCs w:val="24"/>
                  </w:rPr>
                  <m:t>γ</m:t>
                </m:r>
              </m:e>
            </m:acc>
          </m:e>
        </m:rad>
        <m:r>
          <w:rPr>
            <w:rFonts w:ascii="Cambria Math" w:hAnsi="Cambria Math"/>
            <w:color w:val="0E101A"/>
            <w:sz w:val="24"/>
            <w:szCs w:val="24"/>
          </w:rPr>
          <m:t xml:space="preserve"> </m:t>
        </m:r>
      </m:oMath>
      <w:r w:rsidR="009F5816">
        <w:rPr>
          <w:color w:val="0E101A"/>
          <w:sz w:val="24"/>
          <w:szCs w:val="24"/>
        </w:rPr>
        <w:t>)</w:t>
      </w:r>
      <w:r w:rsidR="00495524">
        <w:rPr>
          <w:color w:val="0E101A"/>
          <w:sz w:val="24"/>
          <w:szCs w:val="24"/>
        </w:rPr>
        <w:t xml:space="preserve"> which </w:t>
      </w:r>
      <w:r w:rsidR="009F5816">
        <w:rPr>
          <w:color w:val="0E101A"/>
          <w:sz w:val="24"/>
          <w:szCs w:val="24"/>
        </w:rPr>
        <w:t xml:space="preserve"> </w:t>
      </w:r>
      <w:bookmarkStart w:id="0" w:name="_GoBack"/>
      <w:bookmarkEnd w:id="0"/>
      <w:r w:rsidR="00EA2A3E" w:rsidRPr="00B704BD">
        <w:rPr>
          <w:color w:val="0E101A"/>
          <w:sz w:val="24"/>
          <w:szCs w:val="24"/>
        </w:rPr>
        <w:t>includes yield stress</w:t>
      </w:r>
      <w:r w:rsidR="00550ABA">
        <w:rPr>
          <w:color w:val="0E101A"/>
          <w:sz w:val="24"/>
          <w:szCs w:val="24"/>
        </w:rPr>
        <w:t xml:space="preserve"> and the </w:t>
      </w:r>
      <w:r w:rsidR="00EA2A3E" w:rsidRPr="00B704BD">
        <w:rPr>
          <w:color w:val="0E101A"/>
          <w:sz w:val="24"/>
          <w:szCs w:val="24"/>
        </w:rPr>
        <w:t xml:space="preserve"> Casson model parameters</w:t>
      </w:r>
      <w:r w:rsidR="00D576E9">
        <w:rPr>
          <w:color w:val="0E101A"/>
          <w:sz w:val="24"/>
          <w:szCs w:val="24"/>
        </w:rPr>
        <w:t xml:space="preserve"> </w:t>
      </w:r>
      <w:r w:rsidR="00D576E9" w:rsidRPr="00B704BD">
        <w:rPr>
          <w:color w:val="0E101A"/>
          <w:sz w:val="24"/>
          <w:szCs w:val="24"/>
        </w:rPr>
        <w:t>(</w:t>
      </w:r>
      <m:oMath>
        <m:sSub>
          <m:sSubPr>
            <m:ctrlPr>
              <w:rPr>
                <w:rFonts w:ascii="Cambria Math" w:hAnsi="Cambria Math"/>
                <w:i/>
                <w:color w:val="0E101A"/>
                <w:sz w:val="24"/>
                <w:szCs w:val="24"/>
              </w:rPr>
            </m:ctrlPr>
          </m:sSubPr>
          <m:e>
            <m:r>
              <w:rPr>
                <w:rFonts w:ascii="Cambria Math" w:hAnsi="Cambria Math"/>
                <w:color w:val="0E101A"/>
                <w:sz w:val="24"/>
                <w:szCs w:val="24"/>
              </w:rPr>
              <m:t>τ</m:t>
            </m:r>
          </m:e>
          <m:sub>
            <m:r>
              <w:rPr>
                <w:rFonts w:ascii="Cambria Math" w:hAnsi="Cambria Math"/>
                <w:color w:val="0E101A"/>
                <w:sz w:val="24"/>
                <w:szCs w:val="24"/>
              </w:rPr>
              <m:t>0</m:t>
            </m:r>
          </m:sub>
        </m:sSub>
        <m:r>
          <w:rPr>
            <w:rFonts w:ascii="Cambria Math" w:hAnsi="Cambria Math"/>
            <w:color w:val="0E101A"/>
            <w:sz w:val="24"/>
            <w:szCs w:val="24"/>
          </w:rPr>
          <m:t>=245</m:t>
        </m:r>
      </m:oMath>
      <w:r w:rsidR="00D576E9">
        <w:rPr>
          <w:color w:val="0E101A"/>
          <w:sz w:val="24"/>
          <w:szCs w:val="24"/>
        </w:rPr>
        <w:t xml:space="preserve"> Pa and </w:t>
      </w:r>
      <m:oMath>
        <m:sSub>
          <m:sSubPr>
            <m:ctrlPr>
              <w:rPr>
                <w:rFonts w:ascii="Cambria Math" w:hAnsi="Cambria Math"/>
                <w:i/>
                <w:color w:val="0E101A"/>
                <w:sz w:val="24"/>
                <w:szCs w:val="24"/>
              </w:rPr>
            </m:ctrlPr>
          </m:sSubPr>
          <m:e>
            <m:r>
              <w:rPr>
                <w:rFonts w:ascii="Cambria Math" w:hAnsi="Cambria Math"/>
                <w:color w:val="0E101A"/>
                <w:sz w:val="24"/>
                <w:szCs w:val="24"/>
              </w:rPr>
              <m:t>μ</m:t>
            </m:r>
          </m:e>
          <m:sub>
            <m:r>
              <w:rPr>
                <w:rFonts w:ascii="Cambria Math" w:hAnsi="Cambria Math"/>
                <w:color w:val="0E101A"/>
                <w:sz w:val="24"/>
                <w:szCs w:val="24"/>
              </w:rPr>
              <m:t>p</m:t>
            </m:r>
          </m:sub>
        </m:sSub>
        <m:r>
          <w:rPr>
            <w:rFonts w:ascii="Cambria Math" w:hAnsi="Cambria Math"/>
            <w:color w:val="0E101A"/>
            <w:sz w:val="24"/>
            <w:szCs w:val="24"/>
          </w:rPr>
          <m:t xml:space="preserve">=0.006 </m:t>
        </m:r>
      </m:oMath>
      <w:r w:rsidR="00D576E9">
        <w:rPr>
          <w:color w:val="0E101A"/>
          <w:sz w:val="24"/>
          <w:szCs w:val="24"/>
        </w:rPr>
        <w:t>Pas)</w:t>
      </w:r>
      <w:r w:rsidR="00AC7CDB">
        <w:rPr>
          <w:color w:val="0E101A"/>
          <w:sz w:val="24"/>
          <w:szCs w:val="24"/>
        </w:rPr>
        <w:t>. These</w:t>
      </w:r>
      <w:r w:rsidR="00EA2A3E" w:rsidRPr="00B704BD">
        <w:rPr>
          <w:color w:val="0E101A"/>
          <w:sz w:val="24"/>
          <w:szCs w:val="24"/>
        </w:rPr>
        <w:t xml:space="preserve"> </w:t>
      </w:r>
      <w:r w:rsidR="00AC7CDB">
        <w:rPr>
          <w:color w:val="0E101A"/>
          <w:sz w:val="24"/>
          <w:szCs w:val="24"/>
        </w:rPr>
        <w:t>were obtained</w:t>
      </w:r>
      <w:r w:rsidR="00AC7CDB" w:rsidRPr="00B704BD">
        <w:rPr>
          <w:color w:val="0E101A"/>
          <w:sz w:val="24"/>
          <w:szCs w:val="24"/>
        </w:rPr>
        <w:t xml:space="preserve"> </w:t>
      </w:r>
      <w:r w:rsidR="00EA2A3E" w:rsidRPr="00B704BD">
        <w:rPr>
          <w:color w:val="0E101A"/>
          <w:sz w:val="24"/>
          <w:szCs w:val="24"/>
        </w:rPr>
        <w:t>from slot viscometry measurements reported for 3% concentration of mechanically produced cellulose nanofibrils  [</w:t>
      </w:r>
      <w:r w:rsidR="00AC4061">
        <w:rPr>
          <w:color w:val="0E101A"/>
          <w:sz w:val="24"/>
          <w:szCs w:val="24"/>
        </w:rPr>
        <w:t>5</w:t>
      </w:r>
      <w:r w:rsidR="00EA2A3E" w:rsidRPr="00B704BD">
        <w:rPr>
          <w:color w:val="0E101A"/>
          <w:sz w:val="24"/>
          <w:szCs w:val="24"/>
        </w:rPr>
        <w:t>]</w:t>
      </w:r>
      <w:r w:rsidR="009F5816">
        <w:rPr>
          <w:color w:val="0E101A"/>
          <w:sz w:val="24"/>
          <w:szCs w:val="24"/>
        </w:rPr>
        <w:t>, by considering the nonlinear slip</w:t>
      </w:r>
      <w:r w:rsidR="00EA2A3E" w:rsidRPr="00B704BD">
        <w:rPr>
          <w:color w:val="0E101A"/>
          <w:sz w:val="24"/>
          <w:szCs w:val="24"/>
        </w:rPr>
        <w:t>.</w:t>
      </w:r>
      <w:r w:rsidR="00D576E9">
        <w:rPr>
          <w:color w:val="0E101A"/>
          <w:sz w:val="24"/>
          <w:szCs w:val="24"/>
        </w:rPr>
        <w:t xml:space="preserve"> </w:t>
      </w:r>
      <w:r w:rsidR="00325ACD">
        <w:rPr>
          <w:color w:val="0E101A"/>
          <w:sz w:val="24"/>
          <w:szCs w:val="24"/>
        </w:rPr>
        <w:t xml:space="preserve">From Fig 1, we can see </w:t>
      </w:r>
      <w:r w:rsidR="00AC7CDB">
        <w:rPr>
          <w:color w:val="0E101A"/>
          <w:sz w:val="24"/>
          <w:szCs w:val="24"/>
        </w:rPr>
        <w:t xml:space="preserve">that </w:t>
      </w:r>
      <w:r w:rsidR="00325ACD">
        <w:rPr>
          <w:color w:val="0E101A"/>
          <w:sz w:val="24"/>
          <w:szCs w:val="24"/>
        </w:rPr>
        <w:t xml:space="preserve">the </w:t>
      </w:r>
      <w:r w:rsidR="0089294D">
        <w:rPr>
          <w:color w:val="0E101A"/>
          <w:sz w:val="24"/>
          <w:szCs w:val="24"/>
        </w:rPr>
        <w:t xml:space="preserve">effect of </w:t>
      </w:r>
      <w:r w:rsidR="00325ACD">
        <w:rPr>
          <w:color w:val="0E101A"/>
          <w:sz w:val="24"/>
          <w:szCs w:val="24"/>
        </w:rPr>
        <w:t>nonlinear</w:t>
      </w:r>
      <w:r w:rsidR="0089294D">
        <w:rPr>
          <w:color w:val="0E101A"/>
          <w:sz w:val="24"/>
          <w:szCs w:val="24"/>
        </w:rPr>
        <w:t xml:space="preserve"> slip becomes prominent at high shear rates.</w:t>
      </w:r>
      <w:r w:rsidR="00325ACD">
        <w:rPr>
          <w:color w:val="0E101A"/>
          <w:sz w:val="24"/>
          <w:szCs w:val="24"/>
        </w:rPr>
        <w:t xml:space="preserve"> </w:t>
      </w:r>
      <w:r w:rsidR="00D576E9">
        <w:rPr>
          <w:color w:val="0E101A"/>
          <w:sz w:val="24"/>
          <w:szCs w:val="24"/>
        </w:rPr>
        <w:t>The slip velocity is modelled as a</w:t>
      </w:r>
      <w:r w:rsidR="00D576E9" w:rsidRPr="00D576E9">
        <w:rPr>
          <w:color w:val="0E101A"/>
          <w:sz w:val="24"/>
          <w:szCs w:val="24"/>
        </w:rPr>
        <w:t xml:space="preserve"> function of wall shear stress, and the relationship</w:t>
      </w:r>
      <w:r w:rsidR="00D576E9">
        <w:rPr>
          <w:color w:val="0E101A"/>
          <w:sz w:val="24"/>
          <w:szCs w:val="24"/>
        </w:rPr>
        <w:t xml:space="preserve"> </w:t>
      </w:r>
      <w:r w:rsidR="00D576E9" w:rsidRPr="00D576E9">
        <w:rPr>
          <w:color w:val="0E101A"/>
          <w:sz w:val="24"/>
          <w:szCs w:val="24"/>
        </w:rPr>
        <w:t xml:space="preserve">between the two quantities is </w:t>
      </w:r>
      <w:r w:rsidR="00D576E9">
        <w:rPr>
          <w:color w:val="0E101A"/>
          <w:sz w:val="24"/>
          <w:szCs w:val="24"/>
        </w:rPr>
        <w:t xml:space="preserve">implemented in OpenFOAM as </w:t>
      </w:r>
      <w:r w:rsidR="00D576E9" w:rsidRPr="00D576E9">
        <w:rPr>
          <w:color w:val="0E101A"/>
          <w:sz w:val="24"/>
          <w:szCs w:val="24"/>
        </w:rPr>
        <w:t>a</w:t>
      </w:r>
      <w:r w:rsidR="00D576E9">
        <w:rPr>
          <w:color w:val="0E101A"/>
          <w:sz w:val="24"/>
          <w:szCs w:val="24"/>
        </w:rPr>
        <w:t xml:space="preserve"> non</w:t>
      </w:r>
      <w:r w:rsidR="00F77EFA">
        <w:rPr>
          <w:color w:val="0E101A"/>
          <w:sz w:val="24"/>
          <w:szCs w:val="24"/>
        </w:rPr>
        <w:t>linear</w:t>
      </w:r>
      <w:r w:rsidR="00D576E9" w:rsidRPr="00D576E9">
        <w:rPr>
          <w:color w:val="0E101A"/>
          <w:sz w:val="24"/>
          <w:szCs w:val="24"/>
        </w:rPr>
        <w:t xml:space="preserve"> power law</w:t>
      </w:r>
      <w:r w:rsidR="00AC7CDB">
        <w:rPr>
          <w:color w:val="0E101A"/>
          <w:sz w:val="24"/>
          <w:szCs w:val="24"/>
        </w:rPr>
        <w:t>:</w:t>
      </w:r>
      <w:r w:rsidR="00D576E9">
        <w:rPr>
          <w:color w:val="0E101A"/>
          <w:sz w:val="24"/>
          <w:szCs w:val="24"/>
        </w:rPr>
        <w:t xml:space="preserve"> </w:t>
      </w:r>
    </w:p>
    <w:p w14:paraId="2F2A2FC7" w14:textId="77777777" w:rsidR="00D576E9" w:rsidRDefault="00D576E9" w:rsidP="00D576E9">
      <w:pPr>
        <w:jc w:val="both"/>
        <w:rPr>
          <w:color w:val="0E101A"/>
          <w:sz w:val="24"/>
          <w:szCs w:val="24"/>
        </w:rPr>
      </w:pPr>
    </w:p>
    <w:p w14:paraId="1AEACA0C" w14:textId="264CE425" w:rsidR="00D576E9" w:rsidRPr="00D576E9" w:rsidRDefault="00FD15F7" w:rsidP="005E4798">
      <w:pPr>
        <w:jc w:val="center"/>
        <w:rPr>
          <w:color w:val="0E101A"/>
          <w:sz w:val="24"/>
          <w:szCs w:val="24"/>
        </w:rPr>
      </w:pPr>
      <m:oMath>
        <m:sSub>
          <m:sSubPr>
            <m:ctrlPr>
              <w:rPr>
                <w:rFonts w:ascii="Cambria Math" w:hAnsi="Cambria Math" w:cs="Cambria Math"/>
                <w:i/>
                <w:color w:val="0E101A"/>
                <w:sz w:val="24"/>
                <w:szCs w:val="24"/>
              </w:rPr>
            </m:ctrlPr>
          </m:sSubPr>
          <m:e>
            <m:r>
              <w:rPr>
                <w:rFonts w:ascii="Cambria Math" w:hAnsi="Cambria Math" w:cs="Cambria Math"/>
                <w:color w:val="0E101A"/>
                <w:sz w:val="24"/>
                <w:szCs w:val="24"/>
              </w:rPr>
              <m:t>u</m:t>
            </m:r>
          </m:e>
          <m:sub>
            <m:r>
              <w:rPr>
                <w:rFonts w:ascii="Cambria Math" w:hAnsi="Cambria Math" w:cs="Cambria Math"/>
                <w:color w:val="0E101A"/>
                <w:sz w:val="24"/>
                <w:szCs w:val="24"/>
              </w:rPr>
              <m:t>s</m:t>
            </m:r>
          </m:sub>
        </m:sSub>
        <m:r>
          <w:rPr>
            <w:rFonts w:ascii="Cambria Math" w:hAnsi="Cambria Math"/>
            <w:color w:val="0E101A"/>
            <w:sz w:val="24"/>
            <w:szCs w:val="24"/>
          </w:rPr>
          <m:t>=S</m:t>
        </m:r>
        <m:sSubSup>
          <m:sSubSupPr>
            <m:ctrlPr>
              <w:rPr>
                <w:rFonts w:ascii="Cambria Math" w:hAnsi="Cambria Math"/>
                <w:i/>
                <w:color w:val="0E101A"/>
                <w:sz w:val="24"/>
                <w:szCs w:val="24"/>
              </w:rPr>
            </m:ctrlPr>
          </m:sSubSupPr>
          <m:e>
            <m:r>
              <w:rPr>
                <w:rFonts w:ascii="Cambria Math" w:hAnsi="Cambria Math"/>
                <w:color w:val="0E101A"/>
                <w:sz w:val="24"/>
                <w:szCs w:val="24"/>
              </w:rPr>
              <m:t>τ</m:t>
            </m:r>
          </m:e>
          <m:sub>
            <m:r>
              <w:rPr>
                <w:rFonts w:ascii="Cambria Math" w:hAnsi="Cambria Math"/>
                <w:color w:val="0E101A"/>
                <w:sz w:val="24"/>
                <w:szCs w:val="24"/>
              </w:rPr>
              <m:t>w</m:t>
            </m:r>
          </m:sub>
          <m:sup>
            <m:r>
              <w:rPr>
                <w:rFonts w:ascii="Cambria Math" w:hAnsi="Cambria Math"/>
                <w:color w:val="0E101A"/>
                <w:sz w:val="24"/>
                <w:szCs w:val="24"/>
              </w:rPr>
              <m:t>m</m:t>
            </m:r>
          </m:sup>
        </m:sSubSup>
      </m:oMath>
      <w:r w:rsidR="00AC7CDB">
        <w:rPr>
          <w:color w:val="0E101A"/>
          <w:sz w:val="24"/>
          <w:szCs w:val="24"/>
        </w:rPr>
        <w:t>.</w:t>
      </w:r>
    </w:p>
    <w:p w14:paraId="227622A8" w14:textId="77777777" w:rsidR="00D576E9" w:rsidRPr="00D576E9" w:rsidRDefault="00D576E9" w:rsidP="00D576E9">
      <w:pPr>
        <w:jc w:val="both"/>
        <w:rPr>
          <w:color w:val="0E101A"/>
          <w:sz w:val="24"/>
          <w:szCs w:val="24"/>
        </w:rPr>
      </w:pPr>
    </w:p>
    <w:p w14:paraId="3B11BA2B" w14:textId="6DAC0894" w:rsidR="00EA2A3E" w:rsidRPr="00B704BD" w:rsidRDefault="00EA2A3E" w:rsidP="00EA2A3E">
      <w:pPr>
        <w:jc w:val="both"/>
        <w:rPr>
          <w:color w:val="0E101A"/>
          <w:sz w:val="24"/>
          <w:szCs w:val="24"/>
        </w:rPr>
      </w:pPr>
      <w:r w:rsidRPr="00B704BD">
        <w:rPr>
          <w:color w:val="0E101A"/>
          <w:sz w:val="24"/>
          <w:szCs w:val="24"/>
        </w:rPr>
        <w:t xml:space="preserve">The </w:t>
      </w:r>
      <w:r w:rsidR="00D576E9">
        <w:rPr>
          <w:color w:val="0E101A"/>
          <w:sz w:val="24"/>
          <w:szCs w:val="24"/>
        </w:rPr>
        <w:t>nonlinear slip</w:t>
      </w:r>
      <w:r w:rsidR="005C216E" w:rsidRPr="005C216E">
        <w:rPr>
          <w:color w:val="0E101A"/>
          <w:sz w:val="24"/>
          <w:szCs w:val="24"/>
        </w:rPr>
        <w:t xml:space="preserve"> </w:t>
      </w:r>
      <w:r w:rsidR="005C216E" w:rsidRPr="00B704BD">
        <w:rPr>
          <w:color w:val="0E101A"/>
          <w:sz w:val="24"/>
          <w:szCs w:val="24"/>
        </w:rPr>
        <w:t>parameters</w:t>
      </w:r>
      <w:r w:rsidR="005C216E">
        <w:rPr>
          <w:color w:val="0E101A"/>
          <w:sz w:val="24"/>
          <w:szCs w:val="24"/>
        </w:rPr>
        <w:t xml:space="preserve"> </w:t>
      </w:r>
      <w:r w:rsidR="005C216E" w:rsidRPr="00B704BD">
        <w:rPr>
          <w:color w:val="0E101A"/>
          <w:sz w:val="24"/>
          <w:szCs w:val="24"/>
        </w:rPr>
        <w:t>(</w:t>
      </w:r>
      <m:oMath>
        <m:r>
          <w:rPr>
            <w:rFonts w:ascii="Cambria Math" w:hAnsi="Cambria Math"/>
            <w:color w:val="0E101A"/>
            <w:sz w:val="24"/>
            <w:szCs w:val="24"/>
          </w:rPr>
          <m:t>S=3.31</m:t>
        </m:r>
      </m:oMath>
      <w:r w:rsidR="005C216E">
        <w:rPr>
          <w:color w:val="0E101A"/>
          <w:sz w:val="24"/>
          <w:szCs w:val="24"/>
        </w:rPr>
        <w:t xml:space="preserve">  and </w:t>
      </w:r>
      <m:oMath>
        <m:r>
          <w:rPr>
            <w:rFonts w:ascii="Cambria Math" w:hAnsi="Cambria Math"/>
            <w:color w:val="0E101A"/>
            <w:sz w:val="24"/>
            <w:szCs w:val="24"/>
          </w:rPr>
          <m:t>m=4.63</m:t>
        </m:r>
      </m:oMath>
      <w:r w:rsidR="005C216E">
        <w:rPr>
          <w:color w:val="0E101A"/>
          <w:sz w:val="24"/>
          <w:szCs w:val="24"/>
        </w:rPr>
        <w:t>)</w:t>
      </w:r>
      <w:r w:rsidR="00D576E9">
        <w:rPr>
          <w:color w:val="0E101A"/>
          <w:sz w:val="24"/>
          <w:szCs w:val="24"/>
        </w:rPr>
        <w:t xml:space="preserve"> </w:t>
      </w:r>
      <w:r w:rsidRPr="00B704BD">
        <w:rPr>
          <w:color w:val="0E101A"/>
          <w:sz w:val="24"/>
          <w:szCs w:val="24"/>
        </w:rPr>
        <w:t xml:space="preserve"> were </w:t>
      </w:r>
      <w:r w:rsidR="005C216E">
        <w:rPr>
          <w:color w:val="0E101A"/>
          <w:sz w:val="24"/>
          <w:szCs w:val="24"/>
        </w:rPr>
        <w:t xml:space="preserve">also </w:t>
      </w:r>
      <w:r w:rsidRPr="00B704BD">
        <w:rPr>
          <w:color w:val="0E101A"/>
          <w:sz w:val="24"/>
          <w:szCs w:val="24"/>
        </w:rPr>
        <w:t xml:space="preserve">chosen </w:t>
      </w:r>
      <w:r w:rsidR="00D576E9">
        <w:rPr>
          <w:color w:val="0E101A"/>
          <w:sz w:val="24"/>
          <w:szCs w:val="24"/>
        </w:rPr>
        <w:t>from slot-rheometry experiments by systematically varying the slot</w:t>
      </w:r>
      <w:r w:rsidR="005C216E">
        <w:rPr>
          <w:color w:val="0E101A"/>
          <w:sz w:val="24"/>
          <w:szCs w:val="24"/>
        </w:rPr>
        <w:t>-gap</w:t>
      </w:r>
      <w:r w:rsidR="00D576E9">
        <w:rPr>
          <w:color w:val="0E101A"/>
          <w:sz w:val="24"/>
          <w:szCs w:val="24"/>
        </w:rPr>
        <w:t xml:space="preserve">. </w:t>
      </w:r>
      <w:r w:rsidR="005C216E">
        <w:rPr>
          <w:color w:val="0E101A"/>
          <w:sz w:val="24"/>
          <w:szCs w:val="24"/>
        </w:rPr>
        <w:t xml:space="preserve">All the solid walls in the computational domain were prescribed nonlinear slip boundary conditions except the </w:t>
      </w:r>
      <w:r w:rsidR="00D2291E">
        <w:rPr>
          <w:color w:val="0E101A"/>
          <w:sz w:val="24"/>
          <w:szCs w:val="24"/>
        </w:rPr>
        <w:t>coating substrate.</w:t>
      </w:r>
    </w:p>
    <w:p w14:paraId="7B4343EA" w14:textId="77777777" w:rsidR="00EA2A3E" w:rsidRDefault="00EA2A3E" w:rsidP="003837D7">
      <w:pPr>
        <w:jc w:val="both"/>
        <w:rPr>
          <w:color w:val="0E101A"/>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D3306" w:rsidRPr="003A70CD" w14:paraId="01D4E1D6" w14:textId="77777777" w:rsidTr="00300F62">
        <w:tc>
          <w:tcPr>
            <w:tcW w:w="9062" w:type="dxa"/>
          </w:tcPr>
          <w:p w14:paraId="4C089F52" w14:textId="77777777" w:rsidR="00DD3306" w:rsidRPr="003A70CD" w:rsidRDefault="00DD3306" w:rsidP="00300F62">
            <w:pPr>
              <w:jc w:val="center"/>
              <w:textAlignment w:val="center"/>
              <w:rPr>
                <w:rFonts w:ascii="Calibri" w:eastAsia="Times New Roman" w:hAnsi="Calibri" w:cs="Calibri"/>
                <w:lang w:val="en-US" w:eastAsia="sv-FI"/>
              </w:rPr>
            </w:pPr>
            <w:r w:rsidRPr="00BA3CB6">
              <w:rPr>
                <w:noProof/>
                <w:color w:val="0E101A"/>
                <w:sz w:val="24"/>
                <w:szCs w:val="24"/>
              </w:rPr>
              <w:drawing>
                <wp:inline distT="0" distB="0" distL="0" distR="0" wp14:anchorId="21F99956" wp14:editId="45A55901">
                  <wp:extent cx="1602898" cy="3200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panikav\OneDrive - Åbo Akademi O365\PaperCon_b\PaperCON_prelim_figures\Final_Figs_for _abstract\Streamlines\Casson_base_600\Casson_Base_600_microns.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602898" cy="3200400"/>
                          </a:xfrm>
                          <a:prstGeom prst="rect">
                            <a:avLst/>
                          </a:prstGeom>
                          <a:noFill/>
                          <a:ln>
                            <a:noFill/>
                          </a:ln>
                        </pic:spPr>
                      </pic:pic>
                    </a:graphicData>
                  </a:graphic>
                </wp:inline>
              </w:drawing>
            </w:r>
          </w:p>
        </w:tc>
      </w:tr>
      <w:tr w:rsidR="00DD3306" w:rsidRPr="003A70CD" w14:paraId="03228EC6" w14:textId="77777777" w:rsidTr="00300F62">
        <w:tc>
          <w:tcPr>
            <w:tcW w:w="9062" w:type="dxa"/>
          </w:tcPr>
          <w:p w14:paraId="5EE8886F" w14:textId="77777777" w:rsidR="00DD3306" w:rsidRDefault="00DD3306" w:rsidP="00300F62">
            <w:pPr>
              <w:jc w:val="center"/>
              <w:textAlignment w:val="center"/>
              <w:rPr>
                <w:color w:val="0E101A"/>
                <w:sz w:val="24"/>
                <w:szCs w:val="24"/>
              </w:rPr>
            </w:pPr>
          </w:p>
          <w:p w14:paraId="19C70549" w14:textId="77777777" w:rsidR="00DD3306" w:rsidRPr="003A70CD" w:rsidRDefault="00DD3306" w:rsidP="00300F62">
            <w:pPr>
              <w:jc w:val="center"/>
              <w:textAlignment w:val="center"/>
              <w:rPr>
                <w:rFonts w:ascii="Calibri" w:eastAsia="Times New Roman" w:hAnsi="Calibri" w:cs="Calibri"/>
                <w:lang w:val="en-US" w:eastAsia="sv-FI"/>
              </w:rPr>
            </w:pPr>
          </w:p>
        </w:tc>
      </w:tr>
      <w:tr w:rsidR="00DD3306" w:rsidRPr="003A70CD" w14:paraId="3021F67B" w14:textId="77777777" w:rsidTr="00300F62">
        <w:tc>
          <w:tcPr>
            <w:tcW w:w="9062" w:type="dxa"/>
          </w:tcPr>
          <w:p w14:paraId="5FCBFFD2" w14:textId="5F919C3A" w:rsidR="00DD3306" w:rsidRPr="003A70CD" w:rsidRDefault="00DD3306" w:rsidP="007266D5">
            <w:pPr>
              <w:jc w:val="center"/>
              <w:textAlignment w:val="center"/>
              <w:rPr>
                <w:rFonts w:ascii="Calibri" w:eastAsia="Times New Roman" w:hAnsi="Calibri" w:cs="Calibri"/>
                <w:lang w:val="en-US" w:eastAsia="sv-FI"/>
              </w:rPr>
            </w:pPr>
            <w:r w:rsidRPr="00426FE7">
              <w:rPr>
                <w:rFonts w:ascii="Calibri" w:eastAsia="Times New Roman" w:hAnsi="Calibri" w:cs="Calibri"/>
                <w:b/>
                <w:lang w:val="en-US" w:eastAsia="sv-FI"/>
              </w:rPr>
              <w:t>Figur</w:t>
            </w:r>
            <w:r>
              <w:rPr>
                <w:rFonts w:ascii="Calibri" w:eastAsia="Times New Roman" w:hAnsi="Calibri" w:cs="Calibri"/>
                <w:b/>
                <w:lang w:val="en-US" w:eastAsia="sv-FI"/>
              </w:rPr>
              <w:t xml:space="preserve">e </w:t>
            </w:r>
            <w:r w:rsidR="00E570B8">
              <w:rPr>
                <w:rFonts w:ascii="Calibri" w:eastAsia="Times New Roman" w:hAnsi="Calibri" w:cs="Calibri"/>
                <w:b/>
                <w:lang w:val="en-US" w:eastAsia="sv-FI"/>
              </w:rPr>
              <w:t>2</w:t>
            </w:r>
            <w:r>
              <w:rPr>
                <w:rFonts w:ascii="Calibri" w:eastAsia="Times New Roman" w:hAnsi="Calibri" w:cs="Calibri"/>
                <w:b/>
                <w:lang w:val="en-US" w:eastAsia="sv-FI"/>
              </w:rPr>
              <w:t>.</w:t>
            </w:r>
            <w:r w:rsidRPr="003A70CD">
              <w:rPr>
                <w:rFonts w:ascii="Calibri" w:eastAsia="Times New Roman" w:hAnsi="Calibri" w:cs="Calibri"/>
                <w:lang w:val="en-US" w:eastAsia="sv-FI"/>
              </w:rPr>
              <w:t xml:space="preserve"> </w:t>
            </w:r>
            <w:r w:rsidR="00E570B8">
              <w:rPr>
                <w:rFonts w:ascii="Calibri" w:eastAsia="Times New Roman" w:hAnsi="Calibri" w:cs="Calibri"/>
                <w:lang w:val="en-US" w:eastAsia="sv-FI"/>
              </w:rPr>
              <w:t>Representative streamlines and pressure distribution of the no-slip case with SWG=</w:t>
            </w:r>
            <w:r w:rsidR="007266D5">
              <w:rPr>
                <w:rFonts w:ascii="Calibri" w:eastAsia="Times New Roman" w:hAnsi="Calibri" w:cs="Calibri"/>
                <w:lang w:val="en-US" w:eastAsia="sv-FI"/>
              </w:rPr>
              <w:t>600</w:t>
            </w:r>
            <w:r w:rsidR="007266D5">
              <w:rPr>
                <w:color w:val="0E101A"/>
                <w:sz w:val="24"/>
                <w:szCs w:val="24"/>
                <w:lang w:val="en-US"/>
              </w:rPr>
              <w:t> </w:t>
            </w:r>
            <w:r w:rsidR="00E570B8" w:rsidRPr="00E570B8">
              <w:rPr>
                <w:color w:val="0E101A"/>
                <w:sz w:val="24"/>
                <w:szCs w:val="24"/>
                <w:lang w:val="en-US"/>
              </w:rPr>
              <w:t>µm</w:t>
            </w:r>
            <w:r w:rsidR="00E570B8">
              <w:rPr>
                <w:color w:val="0E101A"/>
                <w:sz w:val="24"/>
                <w:szCs w:val="24"/>
                <w:lang w:val="en-US"/>
              </w:rPr>
              <w:t>. The location</w:t>
            </w:r>
            <w:r w:rsidR="007266D5">
              <w:rPr>
                <w:color w:val="0E101A"/>
                <w:sz w:val="24"/>
                <w:szCs w:val="24"/>
                <w:lang w:val="en-US"/>
              </w:rPr>
              <w:t>s</w:t>
            </w:r>
            <w:r w:rsidR="00E570B8">
              <w:rPr>
                <w:color w:val="0E101A"/>
                <w:sz w:val="24"/>
                <w:szCs w:val="24"/>
                <w:lang w:val="en-US"/>
              </w:rPr>
              <w:t xml:space="preserve"> of the velocity distribution probes shown in Fig 3 </w:t>
            </w:r>
            <w:r w:rsidR="007266D5">
              <w:rPr>
                <w:color w:val="0E101A"/>
                <w:sz w:val="24"/>
                <w:szCs w:val="24"/>
                <w:lang w:val="en-US"/>
              </w:rPr>
              <w:t xml:space="preserve">are </w:t>
            </w:r>
            <w:r w:rsidR="00E570B8">
              <w:rPr>
                <w:color w:val="0E101A"/>
                <w:sz w:val="24"/>
                <w:szCs w:val="24"/>
                <w:lang w:val="en-US"/>
              </w:rPr>
              <w:t>also highlighted.</w:t>
            </w:r>
          </w:p>
        </w:tc>
      </w:tr>
    </w:tbl>
    <w:p w14:paraId="5120C85A" w14:textId="71B3122A" w:rsidR="00B704BD" w:rsidRDefault="00B704BD" w:rsidP="00B704BD">
      <w:pPr>
        <w:jc w:val="both"/>
        <w:rPr>
          <w:color w:val="0E101A"/>
          <w:sz w:val="24"/>
          <w:szCs w:val="24"/>
        </w:rPr>
      </w:pPr>
    </w:p>
    <w:p w14:paraId="7DCCBD8E" w14:textId="77777777" w:rsidR="00B704BD" w:rsidRDefault="00B704BD" w:rsidP="00B704BD">
      <w:pPr>
        <w:jc w:val="both"/>
        <w:rPr>
          <w:color w:val="0E101A"/>
          <w:sz w:val="24"/>
          <w:szCs w:val="24"/>
        </w:rPr>
      </w:pPr>
    </w:p>
    <w:p w14:paraId="63C61EEE" w14:textId="5BDE94F6" w:rsidR="00B704BD" w:rsidRDefault="00B704BD" w:rsidP="00B704BD">
      <w:pPr>
        <w:jc w:val="both"/>
        <w:rPr>
          <w:color w:val="0E101A"/>
          <w:sz w:val="24"/>
          <w:szCs w:val="24"/>
        </w:rPr>
      </w:pPr>
    </w:p>
    <w:p w14:paraId="4C7BB384" w14:textId="77777777" w:rsidR="00B704BD" w:rsidRDefault="00B704BD" w:rsidP="00B704BD">
      <w:pPr>
        <w:jc w:val="both"/>
        <w:rPr>
          <w:color w:val="0E101A"/>
          <w:sz w:val="24"/>
          <w:szCs w:val="24"/>
        </w:rPr>
      </w:pPr>
    </w:p>
    <w:p w14:paraId="3C1CA568" w14:textId="594B49BD" w:rsidR="00E250C2" w:rsidRDefault="00E250C2" w:rsidP="00E250C2">
      <w:pPr>
        <w:pStyle w:val="BodyText2"/>
        <w:spacing w:line="480" w:lineRule="auto"/>
        <w:rPr>
          <w:b/>
          <w:u w:val="single"/>
        </w:rPr>
      </w:pPr>
      <w:r>
        <w:rPr>
          <w:b/>
          <w:u w:val="single"/>
        </w:rPr>
        <w:t xml:space="preserve">Results  </w:t>
      </w:r>
    </w:p>
    <w:p w14:paraId="3AED3DE0" w14:textId="15D56E17" w:rsidR="00DD3306" w:rsidRDefault="002D56B5" w:rsidP="00853C66">
      <w:pPr>
        <w:jc w:val="both"/>
        <w:rPr>
          <w:color w:val="0E101A"/>
          <w:sz w:val="24"/>
          <w:szCs w:val="24"/>
        </w:rPr>
      </w:pPr>
      <w:r w:rsidRPr="002D56B5">
        <w:rPr>
          <w:color w:val="0E101A"/>
          <w:sz w:val="24"/>
          <w:szCs w:val="24"/>
        </w:rPr>
        <w:t xml:space="preserve">For studying the effect of wall-slip systematically, simulations were performed for </w:t>
      </w:r>
      <w:r w:rsidR="00F77EFA">
        <w:rPr>
          <w:color w:val="0E101A"/>
          <w:sz w:val="24"/>
          <w:szCs w:val="24"/>
        </w:rPr>
        <w:t>four</w:t>
      </w:r>
      <w:r w:rsidRPr="002D56B5">
        <w:rPr>
          <w:color w:val="0E101A"/>
          <w:sz w:val="24"/>
          <w:szCs w:val="24"/>
        </w:rPr>
        <w:t xml:space="preserve"> different slot-web gaps with SWG=300 µm, 600</w:t>
      </w:r>
      <w:r w:rsidR="007266D5">
        <w:rPr>
          <w:color w:val="0E101A"/>
          <w:sz w:val="24"/>
          <w:szCs w:val="24"/>
        </w:rPr>
        <w:t xml:space="preserve"> </w:t>
      </w:r>
      <w:r w:rsidRPr="002D56B5">
        <w:rPr>
          <w:color w:val="0E101A"/>
          <w:sz w:val="24"/>
          <w:szCs w:val="24"/>
        </w:rPr>
        <w:t xml:space="preserve">µm, 1000 µm and 1200 µm, with both slip and no-slip boundary conditions. These cases constitute realistic coating gaps and results in the defect-free coatings in the corresponding experimental setup. Furthermore, the slot-die gap is kept at </w:t>
      </w:r>
      <w:r w:rsidR="007266D5" w:rsidRPr="002D56B5">
        <w:rPr>
          <w:color w:val="0E101A"/>
          <w:sz w:val="24"/>
          <w:szCs w:val="24"/>
        </w:rPr>
        <w:t>1000</w:t>
      </w:r>
      <w:r w:rsidR="007266D5">
        <w:rPr>
          <w:color w:val="0E101A"/>
          <w:sz w:val="24"/>
          <w:szCs w:val="24"/>
        </w:rPr>
        <w:t> </w:t>
      </w:r>
      <w:r w:rsidRPr="002D56B5">
        <w:rPr>
          <w:color w:val="0E101A"/>
          <w:sz w:val="24"/>
          <w:szCs w:val="24"/>
        </w:rPr>
        <w:t>µm, with a web speed of 10 m/min (0.167 m/s) while the slot-die average inflow rate is fixed at 0.</w:t>
      </w:r>
      <w:r w:rsidR="007266D5" w:rsidRPr="002D56B5">
        <w:rPr>
          <w:color w:val="0E101A"/>
          <w:sz w:val="24"/>
          <w:szCs w:val="24"/>
        </w:rPr>
        <w:t>180</w:t>
      </w:r>
      <w:r w:rsidR="007266D5">
        <w:rPr>
          <w:color w:val="0E101A"/>
          <w:sz w:val="24"/>
          <w:szCs w:val="24"/>
        </w:rPr>
        <w:t> </w:t>
      </w:r>
      <w:r w:rsidRPr="002D56B5">
        <w:rPr>
          <w:color w:val="0E101A"/>
          <w:sz w:val="24"/>
          <w:szCs w:val="24"/>
        </w:rPr>
        <w:t xml:space="preserve">m/s. At the slot gap exit, the flow bifurcates into upward and downward flows driven by the pressure from the feed into the slot die. </w:t>
      </w:r>
    </w:p>
    <w:p w14:paraId="5FBF6C25" w14:textId="77777777" w:rsidR="00DD3306" w:rsidRDefault="00DD3306" w:rsidP="00853C66">
      <w:pPr>
        <w:jc w:val="both"/>
        <w:rPr>
          <w:color w:val="0E101A"/>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D3306" w:rsidRPr="003A70CD" w14:paraId="1B746692" w14:textId="77777777" w:rsidTr="00300F62">
        <w:tc>
          <w:tcPr>
            <w:tcW w:w="9062" w:type="dxa"/>
          </w:tcPr>
          <w:p w14:paraId="02B601EC" w14:textId="77777777" w:rsidR="00DD3306" w:rsidRPr="003A70CD" w:rsidRDefault="00DD3306" w:rsidP="00300F62">
            <w:pPr>
              <w:jc w:val="center"/>
              <w:textAlignment w:val="center"/>
              <w:rPr>
                <w:rFonts w:ascii="Calibri" w:eastAsia="Times New Roman" w:hAnsi="Calibri" w:cs="Calibri"/>
                <w:lang w:val="en-US" w:eastAsia="sv-FI"/>
              </w:rPr>
            </w:pPr>
            <w:r w:rsidRPr="00BA3CB6">
              <w:rPr>
                <w:noProof/>
                <w:color w:val="0E101A"/>
                <w:sz w:val="24"/>
                <w:szCs w:val="24"/>
              </w:rPr>
              <w:drawing>
                <wp:inline distT="0" distB="0" distL="0" distR="0" wp14:anchorId="2669621F" wp14:editId="33E617D4">
                  <wp:extent cx="5830766" cy="51206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panikav\OneDrive - Åbo Akademi O365\PaperCon_b\PaperCON_prelim_figures\Final_Figs_for _abstract\Streamlines\Casson_base_600\Casson_Base_600_microns.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830766" cy="5120640"/>
                          </a:xfrm>
                          <a:prstGeom prst="rect">
                            <a:avLst/>
                          </a:prstGeom>
                          <a:noFill/>
                          <a:ln>
                            <a:noFill/>
                          </a:ln>
                        </pic:spPr>
                      </pic:pic>
                    </a:graphicData>
                  </a:graphic>
                </wp:inline>
              </w:drawing>
            </w:r>
          </w:p>
        </w:tc>
      </w:tr>
      <w:tr w:rsidR="00DD3306" w:rsidRPr="003A70CD" w14:paraId="671A1644" w14:textId="77777777" w:rsidTr="00300F62">
        <w:tc>
          <w:tcPr>
            <w:tcW w:w="9062" w:type="dxa"/>
          </w:tcPr>
          <w:p w14:paraId="5B8FAC7B" w14:textId="77777777" w:rsidR="00DD3306" w:rsidRDefault="00DD3306" w:rsidP="00300F62">
            <w:pPr>
              <w:jc w:val="center"/>
              <w:textAlignment w:val="center"/>
              <w:rPr>
                <w:color w:val="0E101A"/>
                <w:sz w:val="24"/>
                <w:szCs w:val="24"/>
              </w:rPr>
            </w:pPr>
          </w:p>
          <w:p w14:paraId="31D8D96E" w14:textId="77777777" w:rsidR="00DD3306" w:rsidRPr="003A70CD" w:rsidRDefault="00DD3306" w:rsidP="00300F62">
            <w:pPr>
              <w:jc w:val="center"/>
              <w:textAlignment w:val="center"/>
              <w:rPr>
                <w:rFonts w:ascii="Calibri" w:eastAsia="Times New Roman" w:hAnsi="Calibri" w:cs="Calibri"/>
                <w:lang w:val="en-US" w:eastAsia="sv-FI"/>
              </w:rPr>
            </w:pPr>
          </w:p>
        </w:tc>
      </w:tr>
      <w:tr w:rsidR="00DD3306" w:rsidRPr="003A70CD" w14:paraId="038F2ACB" w14:textId="77777777" w:rsidTr="00300F62">
        <w:trPr>
          <w:trHeight w:val="630"/>
        </w:trPr>
        <w:tc>
          <w:tcPr>
            <w:tcW w:w="9062" w:type="dxa"/>
          </w:tcPr>
          <w:p w14:paraId="6ED52F94" w14:textId="5CA669D3" w:rsidR="00DD3306" w:rsidRPr="003A70CD" w:rsidRDefault="00DD3306" w:rsidP="007266D5">
            <w:pPr>
              <w:jc w:val="center"/>
              <w:textAlignment w:val="center"/>
              <w:rPr>
                <w:rFonts w:ascii="Calibri" w:eastAsia="Times New Roman" w:hAnsi="Calibri" w:cs="Calibri"/>
                <w:lang w:val="en-US" w:eastAsia="sv-FI"/>
              </w:rPr>
            </w:pPr>
            <w:r w:rsidRPr="00426FE7">
              <w:rPr>
                <w:rFonts w:ascii="Calibri" w:eastAsia="Times New Roman" w:hAnsi="Calibri" w:cs="Calibri"/>
                <w:b/>
                <w:lang w:val="en-US" w:eastAsia="sv-FI"/>
              </w:rPr>
              <w:t>Figur</w:t>
            </w:r>
            <w:r>
              <w:rPr>
                <w:rFonts w:ascii="Calibri" w:eastAsia="Times New Roman" w:hAnsi="Calibri" w:cs="Calibri"/>
                <w:b/>
                <w:lang w:val="en-US" w:eastAsia="sv-FI"/>
              </w:rPr>
              <w:t>e 3.</w:t>
            </w:r>
            <w:r w:rsidRPr="003A70CD">
              <w:rPr>
                <w:rFonts w:ascii="Calibri" w:eastAsia="Times New Roman" w:hAnsi="Calibri" w:cs="Calibri"/>
                <w:lang w:val="en-US" w:eastAsia="sv-FI"/>
              </w:rPr>
              <w:t xml:space="preserve"> </w:t>
            </w:r>
            <w:r>
              <w:rPr>
                <w:rFonts w:ascii="Calibri" w:eastAsia="Times New Roman" w:hAnsi="Calibri" w:cs="Calibri"/>
                <w:lang w:val="en-US" w:eastAsia="sv-FI"/>
              </w:rPr>
              <w:t xml:space="preserve">Comparison of the velocity profiles for no-slip and slip models at various cross-sections as highlighted in Fig 2. a) SWG=300 </w:t>
            </w:r>
            <w:r w:rsidR="007266D5" w:rsidRPr="005E4798">
              <w:rPr>
                <w:color w:val="0E101A"/>
                <w:sz w:val="24"/>
                <w:szCs w:val="24"/>
                <w:lang w:val="en-GB"/>
              </w:rPr>
              <w:t>µm</w:t>
            </w:r>
            <w:r>
              <w:rPr>
                <w:rFonts w:ascii="Calibri" w:eastAsia="Times New Roman" w:hAnsi="Calibri" w:cs="Calibri"/>
                <w:lang w:val="en-US" w:eastAsia="sv-FI"/>
              </w:rPr>
              <w:t xml:space="preserve">, b) SWG=600 </w:t>
            </w:r>
            <w:r w:rsidR="007266D5" w:rsidRPr="005E4798">
              <w:rPr>
                <w:color w:val="0E101A"/>
                <w:sz w:val="24"/>
                <w:szCs w:val="24"/>
                <w:lang w:val="en-GB"/>
              </w:rPr>
              <w:t>µm</w:t>
            </w:r>
            <w:r>
              <w:rPr>
                <w:rFonts w:ascii="Calibri" w:eastAsia="Times New Roman" w:hAnsi="Calibri" w:cs="Calibri"/>
                <w:lang w:val="en-US" w:eastAsia="sv-FI"/>
              </w:rPr>
              <w:t xml:space="preserve">, c) SWG=1000 </w:t>
            </w:r>
            <w:r w:rsidR="007266D5" w:rsidRPr="005E4798">
              <w:rPr>
                <w:color w:val="0E101A"/>
                <w:sz w:val="24"/>
                <w:szCs w:val="24"/>
                <w:lang w:val="en-GB"/>
              </w:rPr>
              <w:t>µm</w:t>
            </w:r>
            <w:r w:rsidR="007266D5" w:rsidDel="007266D5">
              <w:rPr>
                <w:rFonts w:ascii="Calibri" w:eastAsia="Times New Roman" w:hAnsi="Calibri" w:cs="Calibri"/>
                <w:lang w:val="en-US" w:eastAsia="sv-FI"/>
              </w:rPr>
              <w:t xml:space="preserve"> </w:t>
            </w:r>
            <w:r>
              <w:rPr>
                <w:rFonts w:ascii="Calibri" w:eastAsia="Times New Roman" w:hAnsi="Calibri" w:cs="Calibri"/>
                <w:lang w:val="en-US" w:eastAsia="sv-FI"/>
              </w:rPr>
              <w:t xml:space="preserve">and d) SWG=1200 </w:t>
            </w:r>
            <w:r w:rsidR="007266D5" w:rsidRPr="005E4798">
              <w:rPr>
                <w:color w:val="0E101A"/>
                <w:sz w:val="24"/>
                <w:szCs w:val="24"/>
                <w:lang w:val="en-GB"/>
              </w:rPr>
              <w:t>µm</w:t>
            </w:r>
            <w:r w:rsidR="007266D5">
              <w:rPr>
                <w:rFonts w:ascii="Calibri" w:eastAsia="Times New Roman" w:hAnsi="Calibri" w:cs="Calibri"/>
                <w:lang w:val="en-US" w:eastAsia="sv-FI"/>
              </w:rPr>
              <w:t>.</w:t>
            </w:r>
          </w:p>
        </w:tc>
      </w:tr>
    </w:tbl>
    <w:p w14:paraId="3A0D760F" w14:textId="77777777" w:rsidR="00DD3306" w:rsidRDefault="00DD3306" w:rsidP="00853C66">
      <w:pPr>
        <w:jc w:val="both"/>
        <w:rPr>
          <w:color w:val="0E101A"/>
          <w:sz w:val="24"/>
          <w:szCs w:val="24"/>
        </w:rPr>
      </w:pPr>
    </w:p>
    <w:p w14:paraId="4DF37EB3" w14:textId="77777777" w:rsidR="00DD3306" w:rsidRDefault="00DD3306" w:rsidP="00853C66">
      <w:pPr>
        <w:jc w:val="both"/>
        <w:rPr>
          <w:color w:val="0E101A"/>
          <w:sz w:val="24"/>
          <w:szCs w:val="24"/>
        </w:rPr>
      </w:pPr>
    </w:p>
    <w:p w14:paraId="314E7E98" w14:textId="77777777" w:rsidR="00DD3306" w:rsidRDefault="00DD3306" w:rsidP="00853C66">
      <w:pPr>
        <w:jc w:val="both"/>
        <w:rPr>
          <w:color w:val="0E101A"/>
          <w:sz w:val="24"/>
          <w:szCs w:val="24"/>
        </w:rPr>
      </w:pPr>
    </w:p>
    <w:p w14:paraId="15D86CC5" w14:textId="0D79B659" w:rsidR="001D68AC" w:rsidRDefault="0007498B" w:rsidP="00853C66">
      <w:pPr>
        <w:jc w:val="both"/>
        <w:rPr>
          <w:color w:val="0E101A"/>
          <w:sz w:val="24"/>
          <w:szCs w:val="24"/>
        </w:rPr>
      </w:pPr>
      <w:r>
        <w:rPr>
          <w:color w:val="0E101A"/>
          <w:sz w:val="24"/>
          <w:szCs w:val="24"/>
        </w:rPr>
        <w:t>Figure 2</w:t>
      </w:r>
      <w:r w:rsidR="002D56B5" w:rsidRPr="002D56B5">
        <w:rPr>
          <w:color w:val="0E101A"/>
          <w:sz w:val="24"/>
          <w:szCs w:val="24"/>
        </w:rPr>
        <w:t xml:space="preserve"> depicts </w:t>
      </w:r>
      <w:r w:rsidR="00AA1BED">
        <w:rPr>
          <w:color w:val="0E101A"/>
          <w:sz w:val="24"/>
          <w:szCs w:val="24"/>
        </w:rPr>
        <w:t>representative streamline</w:t>
      </w:r>
      <w:r w:rsidR="007266D5">
        <w:rPr>
          <w:color w:val="0E101A"/>
          <w:sz w:val="24"/>
          <w:szCs w:val="24"/>
        </w:rPr>
        <w:t>s</w:t>
      </w:r>
      <w:r w:rsidR="00AA1BED">
        <w:rPr>
          <w:color w:val="0E101A"/>
          <w:sz w:val="24"/>
          <w:szCs w:val="24"/>
        </w:rPr>
        <w:t xml:space="preserve"> </w:t>
      </w:r>
      <w:r w:rsidR="002D56B5" w:rsidRPr="002D56B5">
        <w:rPr>
          <w:color w:val="0E101A"/>
          <w:sz w:val="24"/>
          <w:szCs w:val="24"/>
        </w:rPr>
        <w:t xml:space="preserve">overlayed on a pressure </w:t>
      </w:r>
      <w:r w:rsidR="00AA1BED">
        <w:rPr>
          <w:color w:val="0E101A"/>
          <w:sz w:val="24"/>
          <w:szCs w:val="24"/>
        </w:rPr>
        <w:t>distribution</w:t>
      </w:r>
      <w:r w:rsidR="002D56B5" w:rsidRPr="002D56B5">
        <w:rPr>
          <w:color w:val="0E101A"/>
          <w:sz w:val="24"/>
          <w:szCs w:val="24"/>
        </w:rPr>
        <w:t xml:space="preserve"> for </w:t>
      </w:r>
      <w:r w:rsidR="00AA1BED">
        <w:rPr>
          <w:color w:val="0E101A"/>
          <w:sz w:val="24"/>
          <w:szCs w:val="24"/>
        </w:rPr>
        <w:t>SWG=600</w:t>
      </w:r>
      <w:r w:rsidR="00AA1BED" w:rsidRPr="002D56B5">
        <w:rPr>
          <w:color w:val="0E101A"/>
          <w:sz w:val="24"/>
          <w:szCs w:val="24"/>
        </w:rPr>
        <w:t>µm</w:t>
      </w:r>
      <w:r w:rsidR="002D56B5" w:rsidRPr="002D56B5">
        <w:rPr>
          <w:color w:val="0E101A"/>
          <w:sz w:val="24"/>
          <w:szCs w:val="24"/>
        </w:rPr>
        <w:t xml:space="preserve"> no-slip case. Figure </w:t>
      </w:r>
      <w:r w:rsidR="007266D5">
        <w:rPr>
          <w:color w:val="0E101A"/>
          <w:sz w:val="24"/>
          <w:szCs w:val="24"/>
        </w:rPr>
        <w:t>3</w:t>
      </w:r>
      <w:r w:rsidR="002D56B5" w:rsidRPr="002D56B5">
        <w:rPr>
          <w:color w:val="0E101A"/>
          <w:sz w:val="24"/>
          <w:szCs w:val="24"/>
        </w:rPr>
        <w:t xml:space="preserve"> compares the development of velocity profiles along the converging gap for all the cases.  Initially, </w:t>
      </w:r>
      <w:r w:rsidR="00940F87">
        <w:rPr>
          <w:color w:val="0E101A"/>
          <w:sz w:val="24"/>
          <w:szCs w:val="24"/>
        </w:rPr>
        <w:t xml:space="preserve">the flow is driven </w:t>
      </w:r>
      <w:r w:rsidR="002D56B5" w:rsidRPr="002D56B5">
        <w:rPr>
          <w:color w:val="0E101A"/>
          <w:sz w:val="24"/>
          <w:szCs w:val="24"/>
        </w:rPr>
        <w:t xml:space="preserve">by the shear from the moving substrate and as the flow develops, the </w:t>
      </w:r>
      <w:r w:rsidR="00940F87">
        <w:rPr>
          <w:color w:val="0E101A"/>
          <w:sz w:val="24"/>
          <w:szCs w:val="24"/>
        </w:rPr>
        <w:t>linear shear-</w:t>
      </w:r>
      <w:r w:rsidR="002D56B5" w:rsidRPr="002D56B5">
        <w:rPr>
          <w:color w:val="0E101A"/>
          <w:sz w:val="24"/>
          <w:szCs w:val="24"/>
        </w:rPr>
        <w:t xml:space="preserve">flow profile </w:t>
      </w:r>
      <w:r w:rsidR="00940F87">
        <w:rPr>
          <w:color w:val="0E101A"/>
          <w:sz w:val="24"/>
          <w:szCs w:val="24"/>
        </w:rPr>
        <w:t xml:space="preserve">evolves </w:t>
      </w:r>
      <w:r w:rsidR="002D56B5" w:rsidRPr="002D56B5">
        <w:rPr>
          <w:color w:val="0E101A"/>
          <w:sz w:val="24"/>
          <w:szCs w:val="24"/>
        </w:rPr>
        <w:t xml:space="preserve">to a truncated parabola, for the </w:t>
      </w:r>
      <w:r w:rsidR="007266D5">
        <w:rPr>
          <w:color w:val="0E101A"/>
          <w:sz w:val="24"/>
          <w:szCs w:val="24"/>
        </w:rPr>
        <w:t>smaller</w:t>
      </w:r>
      <w:r w:rsidR="007266D5" w:rsidRPr="002D56B5">
        <w:rPr>
          <w:color w:val="0E101A"/>
          <w:sz w:val="24"/>
          <w:szCs w:val="24"/>
        </w:rPr>
        <w:t xml:space="preserve"> </w:t>
      </w:r>
      <w:r w:rsidR="00940F87">
        <w:rPr>
          <w:color w:val="0E101A"/>
          <w:sz w:val="24"/>
          <w:szCs w:val="24"/>
        </w:rPr>
        <w:t>slot-web gaps</w:t>
      </w:r>
      <w:r w:rsidR="002D56B5" w:rsidRPr="002D56B5">
        <w:rPr>
          <w:color w:val="0E101A"/>
          <w:sz w:val="24"/>
          <w:szCs w:val="24"/>
        </w:rPr>
        <w:t xml:space="preserve">. </w:t>
      </w:r>
      <w:r w:rsidR="00940F87" w:rsidRPr="002D56B5">
        <w:rPr>
          <w:color w:val="0E101A"/>
          <w:sz w:val="24"/>
          <w:szCs w:val="24"/>
        </w:rPr>
        <w:t>In addition</w:t>
      </w:r>
      <w:r w:rsidR="002D56B5" w:rsidRPr="002D56B5">
        <w:rPr>
          <w:color w:val="0E101A"/>
          <w:sz w:val="24"/>
          <w:szCs w:val="24"/>
        </w:rPr>
        <w:t xml:space="preserve">, velocities higher than the moving substrate are observed in the bulk of the flow. As the SWG is increased, </w:t>
      </w:r>
      <w:r w:rsidR="00940F87">
        <w:rPr>
          <w:color w:val="0E101A"/>
          <w:sz w:val="24"/>
          <w:szCs w:val="24"/>
        </w:rPr>
        <w:t>the pressure drops generated are</w:t>
      </w:r>
      <w:r w:rsidR="002D56B5" w:rsidRPr="002D56B5">
        <w:rPr>
          <w:color w:val="0E101A"/>
          <w:sz w:val="24"/>
          <w:szCs w:val="24"/>
        </w:rPr>
        <w:t xml:space="preserve"> reduced, </w:t>
      </w:r>
      <w:r w:rsidR="00940F87">
        <w:rPr>
          <w:color w:val="0E101A"/>
          <w:sz w:val="24"/>
          <w:szCs w:val="24"/>
        </w:rPr>
        <w:t xml:space="preserve">and </w:t>
      </w:r>
      <w:r w:rsidR="002D56B5" w:rsidRPr="002D56B5">
        <w:rPr>
          <w:color w:val="0E101A"/>
          <w:sz w:val="24"/>
          <w:szCs w:val="24"/>
        </w:rPr>
        <w:t xml:space="preserve">the flow </w:t>
      </w:r>
      <w:r w:rsidR="00AA1BED">
        <w:rPr>
          <w:color w:val="0E101A"/>
          <w:sz w:val="24"/>
          <w:szCs w:val="24"/>
        </w:rPr>
        <w:t>changes to</w:t>
      </w:r>
      <w:r w:rsidR="002D56B5" w:rsidRPr="002D56B5">
        <w:rPr>
          <w:color w:val="0E101A"/>
          <w:sz w:val="24"/>
          <w:szCs w:val="24"/>
        </w:rPr>
        <w:t xml:space="preserve"> predominantly shear-driven throughout the converging gap. As we compare the no-slip</w:t>
      </w:r>
      <w:r w:rsidR="00AA1BED">
        <w:rPr>
          <w:color w:val="0E101A"/>
          <w:sz w:val="24"/>
          <w:szCs w:val="24"/>
        </w:rPr>
        <w:t xml:space="preserve"> </w:t>
      </w:r>
      <w:r w:rsidR="002D56B5" w:rsidRPr="002D56B5">
        <w:rPr>
          <w:color w:val="0E101A"/>
          <w:sz w:val="24"/>
          <w:szCs w:val="24"/>
        </w:rPr>
        <w:t>(represented by solid lines) and slip (dashed lines)</w:t>
      </w:r>
      <w:r w:rsidR="00940F87">
        <w:rPr>
          <w:color w:val="0E101A"/>
          <w:sz w:val="24"/>
          <w:szCs w:val="24"/>
        </w:rPr>
        <w:t xml:space="preserve"> cases</w:t>
      </w:r>
      <w:r w:rsidR="002D56B5" w:rsidRPr="002D56B5">
        <w:rPr>
          <w:color w:val="0E101A"/>
          <w:sz w:val="24"/>
          <w:szCs w:val="24"/>
        </w:rPr>
        <w:t>, for the pressure-driven cases (viz. SWG=300</w:t>
      </w:r>
      <w:r w:rsidR="00AA1BED" w:rsidRPr="00AA1BED">
        <w:rPr>
          <w:color w:val="0E101A"/>
          <w:sz w:val="24"/>
          <w:szCs w:val="24"/>
        </w:rPr>
        <w:t xml:space="preserve"> </w:t>
      </w:r>
      <w:r w:rsidR="00AA1BED" w:rsidRPr="002D56B5">
        <w:rPr>
          <w:color w:val="0E101A"/>
          <w:sz w:val="24"/>
          <w:szCs w:val="24"/>
        </w:rPr>
        <w:t>µm</w:t>
      </w:r>
      <w:r w:rsidR="002D56B5" w:rsidRPr="002D56B5">
        <w:rPr>
          <w:color w:val="0E101A"/>
          <w:sz w:val="24"/>
          <w:szCs w:val="24"/>
        </w:rPr>
        <w:t xml:space="preserve"> and SWG=600</w:t>
      </w:r>
      <w:r w:rsidR="00AA1BED" w:rsidRPr="00AA1BED">
        <w:rPr>
          <w:color w:val="0E101A"/>
          <w:sz w:val="24"/>
          <w:szCs w:val="24"/>
        </w:rPr>
        <w:t xml:space="preserve"> </w:t>
      </w:r>
      <w:r w:rsidR="00AA1BED" w:rsidRPr="002D56B5">
        <w:rPr>
          <w:color w:val="0E101A"/>
          <w:sz w:val="24"/>
          <w:szCs w:val="24"/>
        </w:rPr>
        <w:t>µm</w:t>
      </w:r>
      <w:r w:rsidR="002D56B5" w:rsidRPr="002D56B5">
        <w:rPr>
          <w:color w:val="0E101A"/>
          <w:sz w:val="24"/>
          <w:szCs w:val="24"/>
        </w:rPr>
        <w:t xml:space="preserve">),  slip </w:t>
      </w:r>
      <w:r w:rsidR="00AA1BED">
        <w:rPr>
          <w:color w:val="0E101A"/>
          <w:sz w:val="24"/>
          <w:szCs w:val="24"/>
        </w:rPr>
        <w:t>is observed to be</w:t>
      </w:r>
      <w:r w:rsidR="002D56B5" w:rsidRPr="002D56B5">
        <w:rPr>
          <w:color w:val="0E101A"/>
          <w:sz w:val="24"/>
          <w:szCs w:val="24"/>
        </w:rPr>
        <w:t xml:space="preserve"> beneficial as the lower wall-shear stresses along the </w:t>
      </w:r>
      <w:r w:rsidR="00AA1BED">
        <w:rPr>
          <w:color w:val="0E101A"/>
          <w:sz w:val="24"/>
          <w:szCs w:val="24"/>
        </w:rPr>
        <w:t>slip-</w:t>
      </w:r>
      <w:r w:rsidR="002D56B5" w:rsidRPr="002D56B5">
        <w:rPr>
          <w:color w:val="0E101A"/>
          <w:sz w:val="24"/>
          <w:szCs w:val="24"/>
        </w:rPr>
        <w:t xml:space="preserve">wall lead to marginally higher velocities at the slot exit. Also, the pressure drops are slightly reduced along the converging region, compared </w:t>
      </w:r>
      <w:r w:rsidR="00AA1BED">
        <w:rPr>
          <w:color w:val="0E101A"/>
          <w:sz w:val="24"/>
          <w:szCs w:val="24"/>
        </w:rPr>
        <w:t>to a no-slip case. For</w:t>
      </w:r>
      <w:r w:rsidR="007266D5">
        <w:rPr>
          <w:color w:val="0E101A"/>
          <w:sz w:val="24"/>
          <w:szCs w:val="24"/>
        </w:rPr>
        <w:t xml:space="preserve"> example, </w:t>
      </w:r>
      <w:r w:rsidR="00AA1BED">
        <w:rPr>
          <w:color w:val="0E101A"/>
          <w:sz w:val="24"/>
          <w:szCs w:val="24"/>
        </w:rPr>
        <w:t>pressure drops of</w:t>
      </w:r>
      <w:r w:rsidR="002D56B5" w:rsidRPr="002D56B5">
        <w:rPr>
          <w:color w:val="0E101A"/>
          <w:sz w:val="24"/>
          <w:szCs w:val="24"/>
        </w:rPr>
        <w:t xml:space="preserve"> around </w:t>
      </w:r>
      <w:r w:rsidR="00940F87">
        <w:rPr>
          <w:color w:val="0E101A"/>
          <w:sz w:val="24"/>
          <w:szCs w:val="24"/>
        </w:rPr>
        <w:t>~</w:t>
      </w:r>
      <w:r w:rsidR="002D56B5" w:rsidRPr="002D56B5">
        <w:rPr>
          <w:color w:val="0E101A"/>
          <w:sz w:val="24"/>
          <w:szCs w:val="24"/>
        </w:rPr>
        <w:t xml:space="preserve">8% for SWG=300 and ~6.5% for SWG=600 case </w:t>
      </w:r>
      <w:r w:rsidR="007266D5" w:rsidRPr="002D56B5">
        <w:rPr>
          <w:color w:val="0E101A"/>
          <w:sz w:val="24"/>
          <w:szCs w:val="24"/>
        </w:rPr>
        <w:t>w</w:t>
      </w:r>
      <w:r w:rsidR="007266D5">
        <w:rPr>
          <w:color w:val="0E101A"/>
          <w:sz w:val="24"/>
          <w:szCs w:val="24"/>
        </w:rPr>
        <w:t>ere</w:t>
      </w:r>
      <w:r w:rsidR="007266D5" w:rsidRPr="002D56B5">
        <w:rPr>
          <w:color w:val="0E101A"/>
          <w:sz w:val="24"/>
          <w:szCs w:val="24"/>
        </w:rPr>
        <w:t xml:space="preserve"> </w:t>
      </w:r>
      <w:r w:rsidR="002D56B5" w:rsidRPr="002D56B5">
        <w:rPr>
          <w:color w:val="0E101A"/>
          <w:sz w:val="24"/>
          <w:szCs w:val="24"/>
        </w:rPr>
        <w:t>observed</w:t>
      </w:r>
      <w:r w:rsidR="00AA1BED">
        <w:rPr>
          <w:color w:val="0E101A"/>
          <w:sz w:val="24"/>
          <w:szCs w:val="24"/>
        </w:rPr>
        <w:t>, compared to the corresponding no-slip cases</w:t>
      </w:r>
      <w:r w:rsidR="002D56B5" w:rsidRPr="002D56B5">
        <w:rPr>
          <w:color w:val="0E101A"/>
          <w:sz w:val="24"/>
          <w:szCs w:val="24"/>
        </w:rPr>
        <w:t xml:space="preserve">. However, as the flow </w:t>
      </w:r>
      <w:r w:rsidR="00AA1BED">
        <w:rPr>
          <w:color w:val="0E101A"/>
          <w:sz w:val="24"/>
          <w:szCs w:val="24"/>
        </w:rPr>
        <w:t>becomes</w:t>
      </w:r>
      <w:r w:rsidR="002D56B5" w:rsidRPr="002D56B5">
        <w:rPr>
          <w:color w:val="0E101A"/>
          <w:sz w:val="24"/>
          <w:szCs w:val="24"/>
        </w:rPr>
        <w:t xml:space="preserve"> more shear-driven, these benefits are not </w:t>
      </w:r>
      <w:r w:rsidR="00F77EFA">
        <w:rPr>
          <w:color w:val="0E101A"/>
          <w:sz w:val="24"/>
          <w:szCs w:val="24"/>
        </w:rPr>
        <w:t>percei</w:t>
      </w:r>
      <w:r w:rsidR="002D56B5" w:rsidRPr="002D56B5">
        <w:rPr>
          <w:color w:val="0E101A"/>
          <w:sz w:val="24"/>
          <w:szCs w:val="24"/>
        </w:rPr>
        <w:t xml:space="preserve">ved as the shear-rates formed </w:t>
      </w:r>
      <w:r w:rsidR="00AA1BED">
        <w:rPr>
          <w:color w:val="0E101A"/>
          <w:sz w:val="24"/>
          <w:szCs w:val="24"/>
        </w:rPr>
        <w:t>are too low</w:t>
      </w:r>
      <w:r w:rsidR="002D56B5" w:rsidRPr="002D56B5">
        <w:rPr>
          <w:color w:val="0E101A"/>
          <w:sz w:val="24"/>
          <w:szCs w:val="24"/>
        </w:rPr>
        <w:t xml:space="preserve"> to generate a considerable slip velocity that could influence the region beyond a few microns from the wall.</w:t>
      </w:r>
    </w:p>
    <w:p w14:paraId="021456B6" w14:textId="77777777" w:rsidR="00AC4061" w:rsidRDefault="00AC4061" w:rsidP="00853C66">
      <w:pPr>
        <w:jc w:val="both"/>
        <w:rPr>
          <w:color w:val="0E101A"/>
          <w:sz w:val="24"/>
          <w:szCs w:val="24"/>
        </w:rPr>
      </w:pPr>
    </w:p>
    <w:p w14:paraId="640F9CF7" w14:textId="7C7BE6BE" w:rsidR="001D68AC" w:rsidRDefault="001D68AC" w:rsidP="00853C66">
      <w:pPr>
        <w:jc w:val="both"/>
        <w:rPr>
          <w:color w:val="0E101A"/>
          <w:sz w:val="24"/>
          <w:szCs w:val="24"/>
        </w:rPr>
      </w:pPr>
    </w:p>
    <w:p w14:paraId="65A27971" w14:textId="1ECA2B76" w:rsidR="00E250C2" w:rsidRDefault="00E250C2" w:rsidP="00E250C2">
      <w:pPr>
        <w:pStyle w:val="BodyText2"/>
        <w:spacing w:line="480" w:lineRule="auto"/>
        <w:rPr>
          <w:b/>
          <w:u w:val="single"/>
        </w:rPr>
      </w:pPr>
      <w:r>
        <w:rPr>
          <w:b/>
          <w:u w:val="single"/>
        </w:rPr>
        <w:t>Conclusions and outlook</w:t>
      </w:r>
    </w:p>
    <w:p w14:paraId="2F5E9DE0" w14:textId="09266974" w:rsidR="00CE5F37" w:rsidRDefault="005C66B4" w:rsidP="00CE5F37">
      <w:pPr>
        <w:jc w:val="both"/>
        <w:rPr>
          <w:color w:val="0E101A"/>
          <w:sz w:val="24"/>
          <w:szCs w:val="24"/>
        </w:rPr>
      </w:pPr>
      <w:r w:rsidRPr="005C66B4">
        <w:rPr>
          <w:color w:val="0E101A"/>
          <w:sz w:val="24"/>
          <w:szCs w:val="24"/>
        </w:rPr>
        <w:t xml:space="preserve">In this study, </w:t>
      </w:r>
      <w:r w:rsidR="007266D5">
        <w:rPr>
          <w:color w:val="0E101A"/>
          <w:sz w:val="24"/>
          <w:szCs w:val="24"/>
        </w:rPr>
        <w:t xml:space="preserve">a </w:t>
      </w:r>
      <w:r w:rsidRPr="005C66B4">
        <w:rPr>
          <w:color w:val="0E101A"/>
          <w:sz w:val="24"/>
          <w:szCs w:val="24"/>
        </w:rPr>
        <w:t xml:space="preserve">nonlinear-slip velocity model </w:t>
      </w:r>
      <w:r w:rsidR="007266D5">
        <w:rPr>
          <w:color w:val="0E101A"/>
          <w:sz w:val="24"/>
          <w:szCs w:val="24"/>
        </w:rPr>
        <w:t xml:space="preserve">was </w:t>
      </w:r>
      <w:r w:rsidRPr="005C66B4">
        <w:rPr>
          <w:color w:val="0E101A"/>
          <w:sz w:val="24"/>
          <w:szCs w:val="24"/>
        </w:rPr>
        <w:t xml:space="preserve">developed and used to examine the slot-coating process for a </w:t>
      </w:r>
      <w:r w:rsidR="00F77EFA" w:rsidRPr="000B5EED">
        <w:rPr>
          <w:color w:val="0E101A"/>
          <w:sz w:val="24"/>
          <w:szCs w:val="24"/>
        </w:rPr>
        <w:t xml:space="preserve">nanocellulosic </w:t>
      </w:r>
      <w:r w:rsidRPr="005C66B4">
        <w:rPr>
          <w:color w:val="0E101A"/>
          <w:sz w:val="24"/>
          <w:szCs w:val="24"/>
        </w:rPr>
        <w:t xml:space="preserve">material. For the studied parameters, the introduction of slip </w:t>
      </w:r>
      <w:r w:rsidR="00BF3169">
        <w:rPr>
          <w:color w:val="0E101A"/>
          <w:sz w:val="24"/>
          <w:szCs w:val="24"/>
        </w:rPr>
        <w:t xml:space="preserve">not only </w:t>
      </w:r>
      <w:r w:rsidRPr="005C66B4">
        <w:rPr>
          <w:color w:val="0E101A"/>
          <w:sz w:val="24"/>
          <w:szCs w:val="24"/>
        </w:rPr>
        <w:t xml:space="preserve">marginally affects the force balance across the slot-die, but also the pressure </w:t>
      </w:r>
      <w:r w:rsidR="00940F87">
        <w:rPr>
          <w:color w:val="0E101A"/>
          <w:sz w:val="24"/>
          <w:szCs w:val="24"/>
        </w:rPr>
        <w:t>drops</w:t>
      </w:r>
      <w:r w:rsidRPr="005C66B4">
        <w:rPr>
          <w:color w:val="0E101A"/>
          <w:sz w:val="24"/>
          <w:szCs w:val="24"/>
        </w:rPr>
        <w:t xml:space="preserve"> across it. Consequently, the velocity profile is</w:t>
      </w:r>
      <w:r w:rsidR="00940F87">
        <w:rPr>
          <w:color w:val="0E101A"/>
          <w:sz w:val="24"/>
          <w:szCs w:val="24"/>
        </w:rPr>
        <w:t xml:space="preserve"> slightly </w:t>
      </w:r>
      <w:r w:rsidRPr="005C66B4">
        <w:rPr>
          <w:color w:val="0E101A"/>
          <w:sz w:val="24"/>
          <w:szCs w:val="24"/>
        </w:rPr>
        <w:t>shifted upwards</w:t>
      </w:r>
      <w:r w:rsidR="00940F87">
        <w:rPr>
          <w:color w:val="0E101A"/>
          <w:sz w:val="24"/>
          <w:szCs w:val="24"/>
        </w:rPr>
        <w:t xml:space="preserve"> with considerable slip-velocity generated at the wall</w:t>
      </w:r>
      <w:r w:rsidRPr="005C66B4">
        <w:rPr>
          <w:color w:val="0E101A"/>
          <w:sz w:val="24"/>
          <w:szCs w:val="24"/>
        </w:rPr>
        <w:t>, for predominantly pressure-driven flows, while the effect of the slip was not perceived when the flow mainly is driven by shear</w:t>
      </w:r>
      <w:r>
        <w:rPr>
          <w:color w:val="0E101A"/>
          <w:sz w:val="24"/>
          <w:szCs w:val="24"/>
        </w:rPr>
        <w:t>.</w:t>
      </w:r>
    </w:p>
    <w:p w14:paraId="1A4E23D2" w14:textId="77777777" w:rsidR="00BF3169" w:rsidRDefault="00BF3169" w:rsidP="00E250C2">
      <w:pPr>
        <w:pStyle w:val="BodyText2"/>
        <w:spacing w:line="480" w:lineRule="auto"/>
        <w:rPr>
          <w:b/>
          <w:u w:val="single"/>
        </w:rPr>
      </w:pPr>
    </w:p>
    <w:p w14:paraId="7B968AF5" w14:textId="417AAD10" w:rsidR="00E250C2" w:rsidRDefault="00E250C2" w:rsidP="00E250C2">
      <w:pPr>
        <w:pStyle w:val="BodyText2"/>
        <w:spacing w:line="480" w:lineRule="auto"/>
        <w:rPr>
          <w:b/>
          <w:u w:val="single"/>
        </w:rPr>
      </w:pPr>
      <w:r>
        <w:rPr>
          <w:b/>
          <w:u w:val="single"/>
        </w:rPr>
        <w:t>Acknowledgements</w:t>
      </w:r>
    </w:p>
    <w:p w14:paraId="1F697FF3" w14:textId="7BDC0741" w:rsidR="00CE5F37" w:rsidRDefault="00F77EFA" w:rsidP="00CE5F37">
      <w:pPr>
        <w:jc w:val="both"/>
        <w:rPr>
          <w:color w:val="0E101A"/>
          <w:sz w:val="24"/>
          <w:szCs w:val="24"/>
        </w:rPr>
      </w:pPr>
      <w:r>
        <w:rPr>
          <w:color w:val="0E101A"/>
          <w:sz w:val="24"/>
          <w:szCs w:val="24"/>
        </w:rPr>
        <w:t>KSLA Tandem Forest Values supported this work</w:t>
      </w:r>
      <w:r w:rsidR="00CE5F37" w:rsidRPr="00CE5F37">
        <w:rPr>
          <w:color w:val="0E101A"/>
          <w:sz w:val="24"/>
          <w:szCs w:val="24"/>
        </w:rPr>
        <w:t xml:space="preserve"> </w:t>
      </w:r>
      <w:r>
        <w:rPr>
          <w:color w:val="0E101A"/>
          <w:sz w:val="24"/>
          <w:szCs w:val="24"/>
        </w:rPr>
        <w:t xml:space="preserve">via </w:t>
      </w:r>
      <w:r w:rsidR="00CE5F37" w:rsidRPr="00CE5F37">
        <w:rPr>
          <w:color w:val="0E101A"/>
          <w:sz w:val="24"/>
          <w:szCs w:val="24"/>
        </w:rPr>
        <w:t xml:space="preserve">grant TFV I 2018 for the project </w:t>
      </w:r>
      <w:r>
        <w:rPr>
          <w:color w:val="0E101A"/>
          <w:sz w:val="24"/>
          <w:szCs w:val="24"/>
        </w:rPr>
        <w:t>-‘</w:t>
      </w:r>
      <w:r w:rsidR="00CE5F37" w:rsidRPr="00CE5F37">
        <w:rPr>
          <w:color w:val="0E101A"/>
          <w:sz w:val="24"/>
          <w:szCs w:val="24"/>
        </w:rPr>
        <w:t>SimNano – Numerical simulation of coating processes for nanocellulosic materials</w:t>
      </w:r>
      <w:r>
        <w:rPr>
          <w:color w:val="0E101A"/>
          <w:sz w:val="24"/>
          <w:szCs w:val="24"/>
        </w:rPr>
        <w:t>'</w:t>
      </w:r>
      <w:r w:rsidR="00CE5F37" w:rsidRPr="00CE5F37">
        <w:rPr>
          <w:color w:val="0E101A"/>
          <w:sz w:val="24"/>
          <w:szCs w:val="24"/>
        </w:rPr>
        <w:t>.</w:t>
      </w:r>
    </w:p>
    <w:p w14:paraId="0F27796A" w14:textId="77777777" w:rsidR="00CE5F37" w:rsidRDefault="00CE5F37" w:rsidP="00E250C2">
      <w:pPr>
        <w:pStyle w:val="BodyText2"/>
        <w:spacing w:line="480" w:lineRule="auto"/>
        <w:rPr>
          <w:b/>
          <w:u w:val="single"/>
        </w:rPr>
      </w:pPr>
    </w:p>
    <w:p w14:paraId="5FAC0E8F" w14:textId="00A1BFFD" w:rsidR="00E250C2" w:rsidRDefault="00E250C2" w:rsidP="00E250C2">
      <w:pPr>
        <w:pStyle w:val="BodyText2"/>
        <w:spacing w:line="480" w:lineRule="auto"/>
        <w:rPr>
          <w:b/>
          <w:u w:val="single"/>
        </w:rPr>
      </w:pPr>
      <w:r>
        <w:rPr>
          <w:b/>
          <w:u w:val="single"/>
        </w:rPr>
        <w:t>References</w:t>
      </w:r>
    </w:p>
    <w:p w14:paraId="57C9F933" w14:textId="48510754" w:rsidR="00AC4061" w:rsidRDefault="00AC4061" w:rsidP="00AC4061">
      <w:pPr>
        <w:jc w:val="both"/>
        <w:rPr>
          <w:rFonts w:ascii="Arial" w:hAnsi="Arial" w:cs="Arial"/>
          <w:color w:val="222222"/>
          <w:shd w:val="clear" w:color="auto" w:fill="FFFFFF"/>
        </w:rPr>
      </w:pPr>
      <w:r w:rsidRPr="00AC4061">
        <w:rPr>
          <w:rFonts w:ascii="Arial" w:hAnsi="Arial" w:cs="Arial"/>
          <w:color w:val="222222"/>
          <w:shd w:val="clear" w:color="auto" w:fill="FFFFFF"/>
        </w:rPr>
        <w:t>[1]</w:t>
      </w:r>
      <w:r>
        <w:rPr>
          <w:rFonts w:ascii="Arial" w:hAnsi="Arial" w:cs="Arial"/>
          <w:color w:val="222222"/>
          <w:shd w:val="clear" w:color="auto" w:fill="FFFFFF"/>
        </w:rPr>
        <w:t xml:space="preserve"> Ma, H. and Graham, M.D., 2005. Theory of shear-induced migration in dilute polymer solutions near solid boundaries. </w:t>
      </w:r>
      <w:r>
        <w:rPr>
          <w:rFonts w:ascii="Arial" w:hAnsi="Arial" w:cs="Arial"/>
          <w:i/>
          <w:iCs/>
          <w:color w:val="222222"/>
          <w:shd w:val="clear" w:color="auto" w:fill="FFFFFF"/>
        </w:rPr>
        <w:t>Physics of Fluids</w:t>
      </w:r>
      <w:r>
        <w:rPr>
          <w:rFonts w:ascii="Arial" w:hAnsi="Arial" w:cs="Arial"/>
          <w:color w:val="222222"/>
          <w:shd w:val="clear" w:color="auto" w:fill="FFFFFF"/>
        </w:rPr>
        <w:t>, </w:t>
      </w:r>
      <w:r>
        <w:rPr>
          <w:rFonts w:ascii="Arial" w:hAnsi="Arial" w:cs="Arial"/>
          <w:i/>
          <w:iCs/>
          <w:color w:val="222222"/>
          <w:shd w:val="clear" w:color="auto" w:fill="FFFFFF"/>
        </w:rPr>
        <w:t>17</w:t>
      </w:r>
      <w:r>
        <w:rPr>
          <w:rFonts w:ascii="Arial" w:hAnsi="Arial" w:cs="Arial"/>
          <w:color w:val="222222"/>
          <w:shd w:val="clear" w:color="auto" w:fill="FFFFFF"/>
        </w:rPr>
        <w:t>(8), p.083103.</w:t>
      </w:r>
    </w:p>
    <w:p w14:paraId="7658DF72" w14:textId="6F2E64BD" w:rsidR="00AC4061" w:rsidRDefault="00AC4061" w:rsidP="00AC4061">
      <w:pPr>
        <w:jc w:val="both"/>
        <w:rPr>
          <w:rFonts w:ascii="Arial" w:hAnsi="Arial" w:cs="Arial"/>
          <w:color w:val="222222"/>
          <w:shd w:val="clear" w:color="auto" w:fill="FFFFFF"/>
        </w:rPr>
      </w:pPr>
      <w:r>
        <w:rPr>
          <w:rFonts w:ascii="Arial" w:hAnsi="Arial" w:cs="Arial"/>
          <w:color w:val="222222"/>
          <w:shd w:val="clear" w:color="auto" w:fill="FFFFFF"/>
        </w:rPr>
        <w:t>[2] Mondy, L.A., Brenner, H., Altobelli, S.A., Abbott, J.R. and Graham, A.L., 1994. Shear</w:t>
      </w:r>
      <w:r>
        <w:rPr>
          <w:rFonts w:ascii="Cambria Math" w:hAnsi="Cambria Math" w:cs="Cambria Math"/>
          <w:color w:val="222222"/>
          <w:shd w:val="clear" w:color="auto" w:fill="FFFFFF"/>
        </w:rPr>
        <w:t>‐</w:t>
      </w:r>
      <w:r>
        <w:rPr>
          <w:rFonts w:ascii="Arial" w:hAnsi="Arial" w:cs="Arial"/>
          <w:color w:val="222222"/>
          <w:shd w:val="clear" w:color="auto" w:fill="FFFFFF"/>
        </w:rPr>
        <w:t>induced particle migration in suspensions of rods. </w:t>
      </w:r>
      <w:r>
        <w:rPr>
          <w:rFonts w:ascii="Arial" w:hAnsi="Arial" w:cs="Arial"/>
          <w:i/>
          <w:iCs/>
          <w:color w:val="222222"/>
          <w:shd w:val="clear" w:color="auto" w:fill="FFFFFF"/>
        </w:rPr>
        <w:t>Journal of Rheology</w:t>
      </w:r>
      <w:r>
        <w:rPr>
          <w:rFonts w:ascii="Arial" w:hAnsi="Arial" w:cs="Arial"/>
          <w:color w:val="222222"/>
          <w:shd w:val="clear" w:color="auto" w:fill="FFFFFF"/>
        </w:rPr>
        <w:t>, </w:t>
      </w:r>
      <w:r>
        <w:rPr>
          <w:rFonts w:ascii="Arial" w:hAnsi="Arial" w:cs="Arial"/>
          <w:i/>
          <w:iCs/>
          <w:color w:val="222222"/>
          <w:shd w:val="clear" w:color="auto" w:fill="FFFFFF"/>
        </w:rPr>
        <w:t>38</w:t>
      </w:r>
      <w:r>
        <w:rPr>
          <w:rFonts w:ascii="Arial" w:hAnsi="Arial" w:cs="Arial"/>
          <w:color w:val="222222"/>
          <w:shd w:val="clear" w:color="auto" w:fill="FFFFFF"/>
        </w:rPr>
        <w:t>(2), pp.444-452.</w:t>
      </w:r>
    </w:p>
    <w:p w14:paraId="61DB87EA" w14:textId="6955252D" w:rsidR="00AE313B" w:rsidRDefault="00AE313B" w:rsidP="00AC4061">
      <w:pPr>
        <w:jc w:val="both"/>
        <w:rPr>
          <w:color w:val="0E101A"/>
          <w:sz w:val="24"/>
          <w:szCs w:val="24"/>
        </w:rPr>
      </w:pPr>
      <w:r>
        <w:rPr>
          <w:color w:val="0E101A"/>
          <w:sz w:val="24"/>
          <w:szCs w:val="24"/>
        </w:rPr>
        <w:t>[3]</w:t>
      </w:r>
      <w:r>
        <w:rPr>
          <w:rFonts w:ascii="Arial" w:hAnsi="Arial" w:cs="Arial"/>
          <w:color w:val="222222"/>
          <w:shd w:val="clear" w:color="auto" w:fill="FFFFFF"/>
        </w:rPr>
        <w:t>Koppolu, R., Abitbol, T., Kumar, V., Jaiswal, A</w:t>
      </w:r>
      <w:r w:rsidR="00F77EFA">
        <w:rPr>
          <w:rFonts w:ascii="Arial" w:hAnsi="Arial" w:cs="Arial"/>
          <w:color w:val="222222"/>
          <w:shd w:val="clear" w:color="auto" w:fill="FFFFFF"/>
        </w:rPr>
        <w:t>K</w:t>
      </w:r>
      <w:r>
        <w:rPr>
          <w:rFonts w:ascii="Arial" w:hAnsi="Arial" w:cs="Arial"/>
          <w:color w:val="222222"/>
          <w:shd w:val="clear" w:color="auto" w:fill="FFFFFF"/>
        </w:rPr>
        <w:t>, Swerin, A. and Toivakka, M., 2018. Continuous roll-to-roll coating of cellulose nanocrystals onto paperboard. </w:t>
      </w:r>
      <w:r>
        <w:rPr>
          <w:rFonts w:ascii="Arial" w:hAnsi="Arial" w:cs="Arial"/>
          <w:i/>
          <w:iCs/>
          <w:color w:val="222222"/>
          <w:shd w:val="clear" w:color="auto" w:fill="FFFFFF"/>
        </w:rPr>
        <w:t>Cellulose</w:t>
      </w:r>
      <w:r>
        <w:rPr>
          <w:rFonts w:ascii="Arial" w:hAnsi="Arial" w:cs="Arial"/>
          <w:color w:val="222222"/>
          <w:shd w:val="clear" w:color="auto" w:fill="FFFFFF"/>
        </w:rPr>
        <w:t>, </w:t>
      </w:r>
      <w:r>
        <w:rPr>
          <w:rFonts w:ascii="Arial" w:hAnsi="Arial" w:cs="Arial"/>
          <w:i/>
          <w:iCs/>
          <w:color w:val="222222"/>
          <w:shd w:val="clear" w:color="auto" w:fill="FFFFFF"/>
        </w:rPr>
        <w:t>25</w:t>
      </w:r>
      <w:r>
        <w:rPr>
          <w:rFonts w:ascii="Arial" w:hAnsi="Arial" w:cs="Arial"/>
          <w:color w:val="222222"/>
          <w:shd w:val="clear" w:color="auto" w:fill="FFFFFF"/>
        </w:rPr>
        <w:t>(10), pp.6055-6069.</w:t>
      </w:r>
    </w:p>
    <w:p w14:paraId="6DD2B4B5" w14:textId="5C44163F" w:rsidR="00AC4061" w:rsidRDefault="00AC4061" w:rsidP="00AC4061">
      <w:pPr>
        <w:jc w:val="both"/>
        <w:rPr>
          <w:rFonts w:ascii="Arial" w:hAnsi="Arial" w:cs="Arial"/>
          <w:color w:val="222222"/>
          <w:shd w:val="clear" w:color="auto" w:fill="FFFFFF"/>
        </w:rPr>
      </w:pPr>
      <w:r>
        <w:rPr>
          <w:rFonts w:ascii="Arial" w:hAnsi="Arial" w:cs="Arial"/>
          <w:color w:val="222222"/>
          <w:shd w:val="clear" w:color="auto" w:fill="FFFFFF"/>
        </w:rPr>
        <w:t>[</w:t>
      </w:r>
      <w:r w:rsidR="00AE313B">
        <w:rPr>
          <w:rFonts w:ascii="Arial" w:hAnsi="Arial" w:cs="Arial"/>
          <w:color w:val="222222"/>
          <w:shd w:val="clear" w:color="auto" w:fill="FFFFFF"/>
        </w:rPr>
        <w:t>4</w:t>
      </w:r>
      <w:r>
        <w:rPr>
          <w:rFonts w:ascii="Arial" w:hAnsi="Arial" w:cs="Arial"/>
          <w:color w:val="222222"/>
          <w:shd w:val="clear" w:color="auto" w:fill="FFFFFF"/>
        </w:rPr>
        <w:t xml:space="preserve">] Hirt, C.W. and Nichols, B.D., 1981. Volume of </w:t>
      </w:r>
      <w:r w:rsidR="00F77EFA">
        <w:rPr>
          <w:rFonts w:ascii="Arial" w:hAnsi="Arial" w:cs="Arial"/>
          <w:color w:val="222222"/>
          <w:shd w:val="clear" w:color="auto" w:fill="FFFFFF"/>
        </w:rPr>
        <w:t>F</w:t>
      </w:r>
      <w:r>
        <w:rPr>
          <w:rFonts w:ascii="Arial" w:hAnsi="Arial" w:cs="Arial"/>
          <w:color w:val="222222"/>
          <w:shd w:val="clear" w:color="auto" w:fill="FFFFFF"/>
        </w:rPr>
        <w:t>luid (VOF) method for the dynamics of free boundaries. </w:t>
      </w:r>
      <w:r>
        <w:rPr>
          <w:rFonts w:ascii="Arial" w:hAnsi="Arial" w:cs="Arial"/>
          <w:i/>
          <w:iCs/>
          <w:color w:val="222222"/>
          <w:shd w:val="clear" w:color="auto" w:fill="FFFFFF"/>
        </w:rPr>
        <w:t>Journal of computational physics</w:t>
      </w:r>
      <w:r>
        <w:rPr>
          <w:rFonts w:ascii="Arial" w:hAnsi="Arial" w:cs="Arial"/>
          <w:color w:val="222222"/>
          <w:shd w:val="clear" w:color="auto" w:fill="FFFFFF"/>
        </w:rPr>
        <w:t>, </w:t>
      </w:r>
      <w:r>
        <w:rPr>
          <w:rFonts w:ascii="Arial" w:hAnsi="Arial" w:cs="Arial"/>
          <w:i/>
          <w:iCs/>
          <w:color w:val="222222"/>
          <w:shd w:val="clear" w:color="auto" w:fill="FFFFFF"/>
        </w:rPr>
        <w:t>39</w:t>
      </w:r>
      <w:r>
        <w:rPr>
          <w:rFonts w:ascii="Arial" w:hAnsi="Arial" w:cs="Arial"/>
          <w:color w:val="222222"/>
          <w:shd w:val="clear" w:color="auto" w:fill="FFFFFF"/>
        </w:rPr>
        <w:t>(1), pp.201-225.</w:t>
      </w:r>
    </w:p>
    <w:p w14:paraId="7FA7E9AF" w14:textId="0FAF813D" w:rsidR="00AC4061" w:rsidRDefault="00AC4061" w:rsidP="00AC4061">
      <w:pPr>
        <w:jc w:val="both"/>
        <w:rPr>
          <w:rFonts w:ascii="Arial" w:hAnsi="Arial" w:cs="Arial"/>
          <w:color w:val="222222"/>
          <w:shd w:val="clear" w:color="auto" w:fill="FFFFFF"/>
        </w:rPr>
      </w:pPr>
      <w:r>
        <w:rPr>
          <w:rFonts w:ascii="Arial" w:hAnsi="Arial" w:cs="Arial"/>
          <w:color w:val="222222"/>
          <w:shd w:val="clear" w:color="auto" w:fill="FFFFFF"/>
        </w:rPr>
        <w:t>[</w:t>
      </w:r>
      <w:r w:rsidR="00AE313B">
        <w:rPr>
          <w:rFonts w:ascii="Arial" w:hAnsi="Arial" w:cs="Arial"/>
          <w:color w:val="222222"/>
          <w:shd w:val="clear" w:color="auto" w:fill="FFFFFF"/>
        </w:rPr>
        <w:t>5</w:t>
      </w:r>
      <w:r>
        <w:rPr>
          <w:rFonts w:ascii="Arial" w:hAnsi="Arial" w:cs="Arial"/>
          <w:color w:val="222222"/>
          <w:shd w:val="clear" w:color="auto" w:fill="FFFFFF"/>
        </w:rPr>
        <w:t>] Kumar, V., Nazari, B., Bousfield, D. and Toivakka, M., 2016. Rheology of microfibrillated cellulose suspensions in pressure-driven flow. </w:t>
      </w:r>
      <w:r>
        <w:rPr>
          <w:rFonts w:ascii="Arial" w:hAnsi="Arial" w:cs="Arial"/>
          <w:i/>
          <w:iCs/>
          <w:color w:val="222222"/>
          <w:shd w:val="clear" w:color="auto" w:fill="FFFFFF"/>
        </w:rPr>
        <w:t>Applied Rheology</w:t>
      </w:r>
      <w:r>
        <w:rPr>
          <w:rFonts w:ascii="Arial" w:hAnsi="Arial" w:cs="Arial"/>
          <w:color w:val="222222"/>
          <w:shd w:val="clear" w:color="auto" w:fill="FFFFFF"/>
        </w:rPr>
        <w:t>, </w:t>
      </w:r>
      <w:r>
        <w:rPr>
          <w:rFonts w:ascii="Arial" w:hAnsi="Arial" w:cs="Arial"/>
          <w:i/>
          <w:iCs/>
          <w:color w:val="222222"/>
          <w:shd w:val="clear" w:color="auto" w:fill="FFFFFF"/>
        </w:rPr>
        <w:t>26</w:t>
      </w:r>
      <w:r>
        <w:rPr>
          <w:rFonts w:ascii="Arial" w:hAnsi="Arial" w:cs="Arial"/>
          <w:color w:val="222222"/>
          <w:shd w:val="clear" w:color="auto" w:fill="FFFFFF"/>
        </w:rPr>
        <w:t>(4), pp.24-34.</w:t>
      </w:r>
    </w:p>
    <w:p w14:paraId="705E9EB7" w14:textId="70B4E0F8" w:rsidR="00AC4061" w:rsidRDefault="00AC4061" w:rsidP="00AC4061">
      <w:pPr>
        <w:jc w:val="both"/>
        <w:rPr>
          <w:color w:val="0E101A"/>
          <w:sz w:val="24"/>
          <w:szCs w:val="24"/>
        </w:rPr>
      </w:pPr>
      <w:r w:rsidRPr="00AC4061">
        <w:rPr>
          <w:rFonts w:ascii="Arial" w:hAnsi="Arial" w:cs="Arial"/>
          <w:color w:val="222222"/>
          <w:shd w:val="clear" w:color="auto" w:fill="FFFFFF"/>
        </w:rPr>
        <w:t xml:space="preserve"> </w:t>
      </w:r>
    </w:p>
    <w:p w14:paraId="045FF5A0" w14:textId="77777777" w:rsidR="00AC4061" w:rsidRDefault="00AC4061" w:rsidP="00AC4061">
      <w:pPr>
        <w:jc w:val="both"/>
        <w:rPr>
          <w:color w:val="0E101A"/>
          <w:sz w:val="24"/>
          <w:szCs w:val="24"/>
        </w:rPr>
      </w:pPr>
    </w:p>
    <w:sectPr w:rsidR="00AC4061">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438795" w14:textId="77777777" w:rsidR="00FD15F7" w:rsidRDefault="00FD15F7" w:rsidP="002C49C1">
      <w:r>
        <w:separator/>
      </w:r>
    </w:p>
  </w:endnote>
  <w:endnote w:type="continuationSeparator" w:id="0">
    <w:p w14:paraId="491CDCE8" w14:textId="77777777" w:rsidR="00FD15F7" w:rsidRDefault="00FD15F7" w:rsidP="002C4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516C9A" w14:textId="77777777" w:rsidR="00FD15F7" w:rsidRDefault="00FD15F7" w:rsidP="002C49C1">
      <w:r>
        <w:separator/>
      </w:r>
    </w:p>
  </w:footnote>
  <w:footnote w:type="continuationSeparator" w:id="0">
    <w:p w14:paraId="1E1E098A" w14:textId="77777777" w:rsidR="00FD15F7" w:rsidRDefault="00FD15F7" w:rsidP="002C4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952033"/>
    <w:multiLevelType w:val="singleLevel"/>
    <w:tmpl w:val="16D8D10C"/>
    <w:lvl w:ilvl="0">
      <w:start w:val="1"/>
      <w:numFmt w:val="decimal"/>
      <w:lvlText w:val="%1)"/>
      <w:lvlJc w:val="left"/>
      <w:pPr>
        <w:tabs>
          <w:tab w:val="num" w:pos="1080"/>
        </w:tabs>
        <w:ind w:left="108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jQxszA3MjWzMDY0MjNQ0lEKTi0uzszPAykwrAUAubaT3CwAAAA="/>
  </w:docVars>
  <w:rsids>
    <w:rsidRoot w:val="00A850F7"/>
    <w:rsid w:val="00020EAF"/>
    <w:rsid w:val="00060EF1"/>
    <w:rsid w:val="00063C19"/>
    <w:rsid w:val="0007498B"/>
    <w:rsid w:val="00091669"/>
    <w:rsid w:val="000B5EED"/>
    <w:rsid w:val="000D33F2"/>
    <w:rsid w:val="00152413"/>
    <w:rsid w:val="00157261"/>
    <w:rsid w:val="001B46D2"/>
    <w:rsid w:val="001D68AC"/>
    <w:rsid w:val="00205EF1"/>
    <w:rsid w:val="002B2331"/>
    <w:rsid w:val="002C49C1"/>
    <w:rsid w:val="002D56B5"/>
    <w:rsid w:val="00325ACD"/>
    <w:rsid w:val="00332386"/>
    <w:rsid w:val="003837D7"/>
    <w:rsid w:val="003870D6"/>
    <w:rsid w:val="00440F63"/>
    <w:rsid w:val="004575E4"/>
    <w:rsid w:val="00495524"/>
    <w:rsid w:val="004B6FEA"/>
    <w:rsid w:val="005121C8"/>
    <w:rsid w:val="00550ABA"/>
    <w:rsid w:val="005562F6"/>
    <w:rsid w:val="0058059E"/>
    <w:rsid w:val="005B75F2"/>
    <w:rsid w:val="005C216E"/>
    <w:rsid w:val="005C66B4"/>
    <w:rsid w:val="005E4798"/>
    <w:rsid w:val="00623CA1"/>
    <w:rsid w:val="006C31F7"/>
    <w:rsid w:val="006D3E07"/>
    <w:rsid w:val="007266D5"/>
    <w:rsid w:val="007307C0"/>
    <w:rsid w:val="0077404D"/>
    <w:rsid w:val="007F0055"/>
    <w:rsid w:val="00836D18"/>
    <w:rsid w:val="00843BFE"/>
    <w:rsid w:val="00853C66"/>
    <w:rsid w:val="0089294D"/>
    <w:rsid w:val="008932C9"/>
    <w:rsid w:val="008B682D"/>
    <w:rsid w:val="008E17C2"/>
    <w:rsid w:val="00940F87"/>
    <w:rsid w:val="00963D6B"/>
    <w:rsid w:val="00986BF7"/>
    <w:rsid w:val="009F5816"/>
    <w:rsid w:val="00A850F7"/>
    <w:rsid w:val="00AA1BED"/>
    <w:rsid w:val="00AC1523"/>
    <w:rsid w:val="00AC4061"/>
    <w:rsid w:val="00AC7CDB"/>
    <w:rsid w:val="00AE1B86"/>
    <w:rsid w:val="00AE313B"/>
    <w:rsid w:val="00B704BD"/>
    <w:rsid w:val="00BA3CB6"/>
    <w:rsid w:val="00BB25C6"/>
    <w:rsid w:val="00BF3169"/>
    <w:rsid w:val="00C61DA6"/>
    <w:rsid w:val="00C72D7A"/>
    <w:rsid w:val="00C83214"/>
    <w:rsid w:val="00CA3756"/>
    <w:rsid w:val="00CD378F"/>
    <w:rsid w:val="00CE5F37"/>
    <w:rsid w:val="00CF60A1"/>
    <w:rsid w:val="00D2291E"/>
    <w:rsid w:val="00D576E9"/>
    <w:rsid w:val="00D70D32"/>
    <w:rsid w:val="00DC7329"/>
    <w:rsid w:val="00DD3306"/>
    <w:rsid w:val="00E06A34"/>
    <w:rsid w:val="00E250C2"/>
    <w:rsid w:val="00E37775"/>
    <w:rsid w:val="00E570B8"/>
    <w:rsid w:val="00E8674F"/>
    <w:rsid w:val="00EA2A3E"/>
    <w:rsid w:val="00EF05B2"/>
    <w:rsid w:val="00EF7DB3"/>
    <w:rsid w:val="00F04D57"/>
    <w:rsid w:val="00F21AAE"/>
    <w:rsid w:val="00F36641"/>
    <w:rsid w:val="00F42CE9"/>
    <w:rsid w:val="00F77EFA"/>
    <w:rsid w:val="00F85778"/>
    <w:rsid w:val="00F8718B"/>
    <w:rsid w:val="00FA6FFE"/>
    <w:rsid w:val="00FD1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7C3CA1"/>
  <w15:docId w15:val="{83E78006-106F-4B19-A3E0-568FFEB85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center"/>
    </w:pPr>
    <w:rPr>
      <w:rFonts w:ascii="Helvetica" w:hAnsi="Helvetica"/>
    </w:rPr>
  </w:style>
  <w:style w:type="paragraph" w:styleId="BodyText2">
    <w:name w:val="Body Text 2"/>
    <w:basedOn w:val="Normal"/>
    <w:semiHidden/>
    <w:pPr>
      <w:spacing w:line="240" w:lineRule="atLeast"/>
    </w:pPr>
    <w:rPr>
      <w:rFonts w:ascii="Helvetica" w:hAnsi="Helvetica"/>
      <w:snapToGrid w:val="0"/>
      <w:color w:val="000000"/>
    </w:rPr>
  </w:style>
  <w:style w:type="table" w:styleId="TableGrid">
    <w:name w:val="Table Grid"/>
    <w:basedOn w:val="TableNormal"/>
    <w:uiPriority w:val="39"/>
    <w:rsid w:val="00B704BD"/>
    <w:rPr>
      <w:rFonts w:asciiTheme="minorHAnsi" w:eastAsiaTheme="minorHAnsi" w:hAnsiTheme="minorHAnsi" w:cstheme="minorBidi"/>
      <w:sz w:val="22"/>
      <w:szCs w:val="22"/>
      <w:lang w:val="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576E9"/>
    <w:rPr>
      <w:color w:val="808080"/>
    </w:rPr>
  </w:style>
  <w:style w:type="paragraph" w:styleId="Caption">
    <w:name w:val="caption"/>
    <w:basedOn w:val="Normal"/>
    <w:next w:val="Normal"/>
    <w:uiPriority w:val="35"/>
    <w:unhideWhenUsed/>
    <w:qFormat/>
    <w:rsid w:val="00BA3CB6"/>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AC7CDB"/>
    <w:rPr>
      <w:sz w:val="16"/>
      <w:szCs w:val="16"/>
    </w:rPr>
  </w:style>
  <w:style w:type="paragraph" w:styleId="CommentText">
    <w:name w:val="annotation text"/>
    <w:basedOn w:val="Normal"/>
    <w:link w:val="CommentTextChar"/>
    <w:uiPriority w:val="99"/>
    <w:semiHidden/>
    <w:unhideWhenUsed/>
    <w:rsid w:val="00AC7CDB"/>
  </w:style>
  <w:style w:type="character" w:customStyle="1" w:styleId="CommentTextChar">
    <w:name w:val="Comment Text Char"/>
    <w:basedOn w:val="DefaultParagraphFont"/>
    <w:link w:val="CommentText"/>
    <w:uiPriority w:val="99"/>
    <w:semiHidden/>
    <w:rsid w:val="00AC7CDB"/>
  </w:style>
  <w:style w:type="paragraph" w:styleId="CommentSubject">
    <w:name w:val="annotation subject"/>
    <w:basedOn w:val="CommentText"/>
    <w:next w:val="CommentText"/>
    <w:link w:val="CommentSubjectChar"/>
    <w:uiPriority w:val="99"/>
    <w:semiHidden/>
    <w:unhideWhenUsed/>
    <w:rsid w:val="00AC7CDB"/>
    <w:rPr>
      <w:b/>
      <w:bCs/>
    </w:rPr>
  </w:style>
  <w:style w:type="character" w:customStyle="1" w:styleId="CommentSubjectChar">
    <w:name w:val="Comment Subject Char"/>
    <w:basedOn w:val="CommentTextChar"/>
    <w:link w:val="CommentSubject"/>
    <w:uiPriority w:val="99"/>
    <w:semiHidden/>
    <w:rsid w:val="00AC7CDB"/>
    <w:rPr>
      <w:b/>
      <w:bCs/>
    </w:rPr>
  </w:style>
  <w:style w:type="paragraph" w:styleId="BalloonText">
    <w:name w:val="Balloon Text"/>
    <w:basedOn w:val="Normal"/>
    <w:link w:val="BalloonTextChar"/>
    <w:uiPriority w:val="99"/>
    <w:semiHidden/>
    <w:unhideWhenUsed/>
    <w:rsid w:val="00AC7C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7C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io\AppData\Local\Microsoft\Windows\Temporary%20Internet%20Files\Content.Outlook\52ND9ECJ\extended%20abstrac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AFE97FB6C89946B2BCC2149E26DEE2" ma:contentTypeVersion="13" ma:contentTypeDescription="Create a new document." ma:contentTypeScope="" ma:versionID="879894b131b31ef70ed9cb5c79ba86e3">
  <xsd:schema xmlns:xsd="http://www.w3.org/2001/XMLSchema" xmlns:xs="http://www.w3.org/2001/XMLSchema" xmlns:p="http://schemas.microsoft.com/office/2006/metadata/properties" xmlns:ns3="95220164-f204-4c10-9a4d-64954bcd3bad" xmlns:ns4="f0835e1d-cc08-4e1f-854f-2fb94f23b054" targetNamespace="http://schemas.microsoft.com/office/2006/metadata/properties" ma:root="true" ma:fieldsID="18f1b594227feb4acec008bb06da387e" ns3:_="" ns4:_="">
    <xsd:import namespace="95220164-f204-4c10-9a4d-64954bcd3bad"/>
    <xsd:import namespace="f0835e1d-cc08-4e1f-854f-2fb94f23b05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220164-f204-4c10-9a4d-64954bcd3b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835e1d-cc08-4e1f-854f-2fb94f23b05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57B2B2-C25E-48BB-BF15-6A293E1ACE7F}">
  <ds:schemaRefs>
    <ds:schemaRef ds:uri="http://schemas.microsoft.com/sharepoint/v3/contenttype/forms"/>
  </ds:schemaRefs>
</ds:datastoreItem>
</file>

<file path=customXml/itemProps2.xml><?xml version="1.0" encoding="utf-8"?>
<ds:datastoreItem xmlns:ds="http://schemas.openxmlformats.org/officeDocument/2006/customXml" ds:itemID="{4ABDDEEF-C4C7-4569-B38C-B75E367323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220164-f204-4c10-9a4d-64954bcd3bad"/>
    <ds:schemaRef ds:uri="f0835e1d-cc08-4e1f-854f-2fb94f23b0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EB012B-59DF-490E-873C-4A6B49A4AF7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extended abstract</Template>
  <TotalTime>13</TotalTime>
  <Pages>5</Pages>
  <Words>1637</Words>
  <Characters>9334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Pressurized Gravure Coating</vt:lpstr>
    </vt:vector>
  </TitlesOfParts>
  <Company>Dupont</Company>
  <LinksUpToDate>false</LinksUpToDate>
  <CharactersWithSpaces>10950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Pressurized Gravure Coating</dc:title>
  <dc:subject/>
  <dc:creator>fuaad.panikaveetilahamedkutty@abo.fi</dc:creator>
  <cp:keywords/>
  <dc:description/>
  <cp:lastModifiedBy>Fuaad Panikaveetil Ahamed Kutty</cp:lastModifiedBy>
  <cp:revision>5</cp:revision>
  <cp:lastPrinted>2020-07-20T13:17:00Z</cp:lastPrinted>
  <dcterms:created xsi:type="dcterms:W3CDTF">2020-07-20T16:44:00Z</dcterms:created>
  <dcterms:modified xsi:type="dcterms:W3CDTF">2020-07-20T17:06:00Z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0x01010031AFE97FB6C89946B2BCC2149E26DEE2</vt:lpwstr>
  </property>
</Properties>
</file>